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Our ref: SW/EM/HARTWELL-018</w:t>
      </w:r>
    </w:p>
    <w:p>
      <w:pPr>
        <w:spacing w:after="40"/>
      </w:pPr>
      <w:r>
        <w:t xml:space="preserve">Your ref: TW/4471/RM</w:t>
      </w:r>
    </w:p>
    <w:p>
      <w:pPr>
        <w:spacing w:after="160"/>
      </w:pPr>
      <w:r>
        <w:t xml:space="preserve">By email and post</w:t>
      </w:r>
    </w:p>
    <w:p>
      <w:pPr>
        <w:spacing w:after="0"/>
      </w:pPr>
      <w:r>
        <w:t xml:space="preserve">Thackeray Wolfe LLP</w:t>
      </w:r>
    </w:p>
    <w:p>
      <w:pPr>
        <w:spacing w:after="0"/>
      </w:pPr>
      <w:r>
        <w:t xml:space="preserve">8 Carthusian Street</w:t>
      </w:r>
    </w:p>
    <w:p>
      <w:pPr>
        <w:spacing w:after="0"/>
      </w:pPr>
      <w:r>
        <w:t xml:space="preserve">London EC1M 6EB</w:t>
      </w:r>
    </w:p>
    <w:p>
      <w:pPr>
        <w:spacing w:after="160"/>
      </w:pPr>
      <w:r>
        <w:t xml:space="preserve">For the attention of Mr Robert Mason</w:t>
      </w:r>
    </w:p>
    <w:p>
      <w:pPr>
        <w:spacing w:after="160"/>
      </w:pPr>
      <w:r>
        <w:t xml:space="preserve">13 March 2026</w:t>
      </w:r>
    </w:p>
    <w:p>
      <w:pPr>
        <w:spacing w:after="120"/>
      </w:pPr>
      <w:r>
        <w:t xml:space="preserve">Dear Sirs</w:t>
      </w:r>
    </w:p>
    <w:p>
      <w:pPr>
        <w:spacing w:after="160"/>
      </w:pPr>
      <w:r>
        <w:rPr>
          <w:b/>
          <w:bCs/>
        </w:rPr>
        <w:t xml:space="preserve">Hartwell Pharma Limited v Tessaract Bioreagents Limited — Claim No. CL-2026-000118</w:t>
      </w:r>
    </w:p>
    <w:p>
      <w:pPr>
        <w:spacing w:after="160"/>
      </w:pPr>
      <w:r>
        <w:rPr>
          <w:b/>
          <w:bCs/>
        </w:rPr>
        <w:t xml:space="preserve">Proposed directions to the case management conference listed for 8 April 2026</w:t>
      </w:r>
    </w:p>
    <w:p>
      <w:pPr>
        <w:spacing w:after="140" w:line="276"/>
      </w:pPr>
      <w:r>
        <w:t xml:space="preserve">We write following service of your client’s Defence on 13 March 2026 and in advance of the case management conference (“CMC”) listed for 8 April 2026. The purpose of this letter is to seek to agree directions to trial in accordance with CPR Part 29 and the Commercial Court Guide, so far as possible, before the CMC.</w:t>
      </w:r>
    </w:p>
    <w:p>
      <w:pPr>
        <w:spacing w:after="140" w:line="276"/>
      </w:pPr>
      <w:r>
        <w:t xml:space="preserve">We set out below the directions we propose. We should be grateful for your confirmation of agreement, or your counter-proposals, by 28 March 2026 so that an agreed (or, where necessary, competing) set of directions can be filed two clear days before the hearing.</w:t>
      </w:r>
    </w:p>
    <w:p>
      <w:pPr>
        <w:pStyle w:val="Heading1"/>
      </w:pPr>
      <w:r>
        <w:t xml:space="preserve">Statements of case and the issues</w:t>
      </w:r>
    </w:p>
    <w:p>
      <w:pPr>
        <w:pStyle w:val="ListParagraph"/>
        <w:numPr>
          <w:ilvl w:val="0"/>
          <w:numId w:val="2"/>
        </w:numPr>
        <w:spacing w:after="120" w:line="276"/>
      </w:pPr>
      <w:r>
        <w:t xml:space="preserve">The pleadings are now closed. The principal issues for trial are (a) whether batch TX-HX218-0461 conformed to specification; (b) whether your client substituted the 4-chloro intermediate supplier without change control; (c) whether any such breach was deliberate so as to disapply the clause 14 liability cap; and (d) the quantum of the Claimant’s loss. We do not consider a Reply to be necessary unless your client maintains the positive case at paragraph 18 of the Defence, in which case we reserve the right to serve a short Reply by 3 April 2026.</w:t>
      </w:r>
    </w:p>
    <w:p>
      <w:pPr>
        <w:pStyle w:val="Heading1"/>
      </w:pPr>
      <w:r>
        <w:t xml:space="preserve">Disclosure</w:t>
      </w:r>
    </w:p>
    <w:p>
      <w:pPr>
        <w:pStyle w:val="ListParagraph"/>
        <w:numPr>
          <w:ilvl w:val="0"/>
          <w:numId w:val="2"/>
        </w:numPr>
        <w:spacing w:after="120" w:line="276"/>
      </w:pPr>
      <w:r>
        <w:t xml:space="preserve">We propose disclosure by extended disclosure under PD 57AD, with Models C and D applying to the issues identified in a Disclosure Review Document to be exchanged in draft by 1 May 2026. Our client’s disclosure will in particular address the change-control records, batch manufacturing records and starting-material qualification documents for batch TX-HX218-0461. We invite your client to confirm it will preserve and disclose its equivalent records, including all correspondence with Reyland Fine Chemicals.</w:t>
      </w:r>
    </w:p>
    <w:p>
      <w:pPr>
        <w:pStyle w:val="ListParagraph"/>
        <w:numPr>
          <w:ilvl w:val="0"/>
          <w:numId w:val="2"/>
        </w:numPr>
        <w:spacing w:after="120" w:line="276"/>
      </w:pPr>
      <w:r>
        <w:t xml:space="preserve">We propose that extended disclosure be given by list and by exchange of an electronic disclosure index in the form enclosed by 26 June 2026, with inspection within 14 days thereafter.</w:t>
      </w:r>
    </w:p>
    <w:p>
      <w:pPr>
        <w:pStyle w:val="Heading1"/>
      </w:pPr>
      <w:r>
        <w:t xml:space="preserve">Factual and expert evidence</w:t>
      </w:r>
    </w:p>
    <w:p>
      <w:pPr>
        <w:pStyle w:val="ListParagraph"/>
        <w:numPr>
          <w:ilvl w:val="0"/>
          <w:numId w:val="2"/>
        </w:numPr>
        <w:spacing w:after="120" w:line="276"/>
      </w:pPr>
      <w:r>
        <w:t xml:space="preserve">We propose that signed witness statements of fact be exchanged by 28 August 2026. Our client anticipates calling Dr Stephen Okoro (Chief Scientific Officer) and one further witness as to the manufacturing and investigation history.</w:t>
      </w:r>
    </w:p>
    <w:p>
      <w:pPr>
        <w:pStyle w:val="ListParagraph"/>
        <w:numPr>
          <w:ilvl w:val="0"/>
          <w:numId w:val="2"/>
        </w:numPr>
        <w:spacing w:after="120" w:line="276"/>
      </w:pPr>
      <w:r>
        <w:t xml:space="preserve">We consider that expert evidence is required in the single discipline of pharmaceutical analytical chemistry / GMP, directed to the origin and characterisation of the impurity and the standard of a reasonably competent contract manufacturer. We propose one expert per party, with reports exchanged by 30 October 2026, a joint statement by 27 November 2026, and permission for the experts to give oral evidence at trial. If your client contends that quantum requires separate expert accounting evidence, we should be grateful for your reasoning.</w:t>
      </w:r>
    </w:p>
    <w:p>
      <w:pPr>
        <w:pStyle w:val="Heading1"/>
      </w:pPr>
      <w:r>
        <w:t xml:space="preserve">Trial</w:t>
      </w:r>
    </w:p>
    <w:p>
      <w:pPr>
        <w:pStyle w:val="ListParagraph"/>
        <w:numPr>
          <w:ilvl w:val="0"/>
          <w:numId w:val="2"/>
        </w:numPr>
        <w:spacing w:after="120" w:line="276"/>
      </w:pPr>
      <w:r>
        <w:t xml:space="preserve">We estimate a trial length of 5 days, including pre-reading. We invite your client to agree a trial window in the first available period after 18 January 2027. A pre-trial review should be listed approximately 6 weeks before trial.</w:t>
      </w:r>
    </w:p>
    <w:p>
      <w:pPr>
        <w:pStyle w:val="ListParagraph"/>
        <w:numPr>
          <w:ilvl w:val="0"/>
          <w:numId w:val="2"/>
        </w:numPr>
        <w:spacing w:after="120" w:line="276"/>
      </w:pPr>
      <w:r>
        <w:t xml:space="preserve">We enclose a draft order reflecting the above for your consideration. Nothing in this letter is to be taken as any admission, and our client’s position on the merits and on the inapplicability of the clause 14 cap is fully reserved.</w:t>
      </w:r>
    </w:p>
    <w:p>
      <w:pPr>
        <w:spacing w:after="160" w:before="120"/>
      </w:pPr>
      <w:r>
        <w:t xml:space="preserve">We look forward to hearing from you.</w:t>
      </w:r>
    </w:p>
    <w:p>
      <w:pPr>
        <w:spacing w:after="240"/>
      </w:pPr>
      <w:r>
        <w:t xml:space="preserve">Yours faithfully</w:t>
      </w:r>
    </w:p>
    <w:p>
      <w:pPr>
        <w:spacing w:after="40"/>
      </w:pPr>
      <w:r>
        <w:t xml:space="preserve">Whitfield Carter LLP</w:t>
      </w:r>
    </w:p>
    <w:p>
      <w:pPr>
        <w:spacing w:after="140" w:line="276"/>
      </w:pPr>
      <w:r>
        <w:t xml:space="preserve">Enc: draft directions order; specimen electronic disclosure index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Whitfield Carter LLP is a limited liability partnership registered in England and Wales (OC418802) and is authorised and regulated by the Solicitors Regulation Authority.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30"/>
        <w:szCs w:val="30"/>
      </w:rPr>
      <w:t xml:space="preserve">WHITFIELD CARTER LLP</w:t>
    </w:r>
  </w:p>
  <w:p>
    <w:pPr>
      <w:pBdr>
        <w:bottom w:val="single" w:color="1F3864" w:sz="8" w:space="6"/>
      </w:pBdr>
      <w:spacing w:after="40"/>
      <w:jc w:val="center"/>
    </w:pPr>
    <w:r>
      <w:rPr>
        <w:sz w:val="16"/>
        <w:szCs w:val="16"/>
      </w:rPr>
      <w:t xml:space="preserve">Solicitors  ·  22 Bishopsgate, London EC2N 4BQ  ·  DX 138760 Cheapside  ·  +44 (0)20 7946 0083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00"/>
      <w:outlineLvl w:val="0"/>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2026-06-25T20:10:17.860Z</dcterms:created>
  <dcterms:modified xsi:type="dcterms:W3CDTF">2026-06-25T20:10:17.860Z</dcterms:modified>
</cp:coreProperties>
</file>

<file path=docProps/custom.xml><?xml version="1.0" encoding="utf-8"?>
<Properties xmlns="http://schemas.openxmlformats.org/officeDocument/2006/custom-properties" xmlns:vt="http://schemas.openxmlformats.org/officeDocument/2006/docPropsVTypes"/>
</file>