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/>
    </w:p>
    <w:p>
      <w:pPr>
        <w:spacing w:after="40"/>
        <w:jc w:val="center"/>
      </w:pPr>
      <w:r>
        <w:t xml:space="preserve">Claim No. CL-2026-000118</w:t>
      </w:r>
    </w:p>
    <w:p>
      <w:pPr>
        <w:spacing w:after="200"/>
        <w:jc w:val="center"/>
      </w:pPr>
      <w:r/>
    </w:p>
    <w:p>
      <w:pPr>
        <w:spacing w:after="120" w:line="276"/>
      </w:pPr>
      <w:r>
        <w:t xml:space="preserve">This chronology is prepared on behalf of the Claimant for the case management conference. It is neutral as to issues in dispute save where indicated by the document references.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700"/>
        <w:gridCol w:w="116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Feb 2024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Supply and Quality Agreement executed between Hartwell Pharma and Tessaract Bioreagents (HX-218 API).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C1/1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 2024 – Jul 2025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Tessaract supplies six conforming batches of HX-218 API; no quality issues.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C1/3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c. 12 Jun 2025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Tessaract internally substitutes 4-chloro intermediate supplier (Reyland Fine Chemicals) for batch TX-HX218-0461. No change-control notice given to Hartwell.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D2/14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Aug 2025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Tessaract delivers batch TX-HX218-0461 (3.2 kg) with CoA and Certificate of Conformity certifying specification compliance.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C2/8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18–27 Aug 2025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Hartwell manufactures clinical drug-product lot DP-2025-114 using the Batch.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C3/11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Sep 2025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Hartwell release testing detects unknown impurity at 0.9% area (&gt;0.5% limit). OOS-2025-037 opened.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C3/12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Sep 2025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Lot DP-2025-114 quarantined and rejected; clinical supply campaign halted.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C3/13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 Sep 2025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Tessaract admits unqualified starting-material substitution without change control.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D2/15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Oct 2025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Wraysbury Materials Laboratory confirms impurity is a process-related degradant from the substituted intermediate.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E1/4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Nov 2025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Letter before action served on Tessaract.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A1/1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Dec 2025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Thackeray Wolfe LLP responds to LBA denying breach and asserting the £250,000 liability cap.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A1/2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Jan 2026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Claim Form and Particulars of Claim issued (CL-2026-000118).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B1/1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 Mar 2026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Defence served.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B1/2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Apr 2026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 management conference; directions to trial given.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B1/3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t xml:space="preserve">Prepared by Whitfield Carter LLP, solicitors for the Claimant. References are to the trial bundle paginated in accordance with the directions of 8 April 2026.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Confidential and may be legally privileged.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134" w:hanging="454"/>
      </w:pPr>
    </w:lvl>
  </w:abstractNum>
  <w:abstractNum w:abstractNumId="4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588" w:hanging="454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2026-06-25T20:08:15.355Z</dcterms:created>
  <dcterms:modified xsi:type="dcterms:W3CDTF">2026-06-25T20:08:15.355Z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