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t xml:space="preserve">Claimant: Hartwell Pharma Limited</w:t>
      </w:r>
    </w:p>
    <w:p>
      <w:pPr>
        <w:jc w:val="right"/>
      </w:pPr>
      <w:r>
        <w:t xml:space="preserve">Witness: Dr S. Okoro</w:t>
      </w:r>
    </w:p>
    <w:p>
      <w:pPr>
        <w:jc w:val="right"/>
      </w:pPr>
      <w:r>
        <w:t xml:space="preserve">Statement: First</w:t>
      </w:r>
    </w:p>
    <w:p>
      <w:pPr>
        <w:spacing w:after="160"/>
        <w:jc w:val="right"/>
      </w:pPr>
      <w:r>
        <w:t xml:space="preserve">Exhibits: SO1–SO4</w:t>
      </w:r>
    </w:p>
    <w:p>
      <w:pPr>
        <w:spacing w:after="40"/>
        <w:jc w:val="center"/>
      </w:pPr>
      <w:r>
        <w:t xml:space="preserve">IN THE HIGH COURT OF JUSTICE</w:t>
      </w:r>
    </w:p>
    <w:p>
      <w:pPr>
        <w:spacing w:after="40"/>
        <w:jc w:val="center"/>
      </w:pPr>
      <w:r>
        <w:t xml:space="preserve">BUSINESS AND PROPERTY COURTS OF ENGLAND AND WALES – COMMERCIAL COURT (KBD)</w:t>
      </w:r>
    </w:p>
    <w:p>
      <w:pPr>
        <w:spacing w:after="120"/>
        <w:jc w:val="right"/>
      </w:pPr>
      <w:r>
        <w:t xml:space="preserve">Claim No. CL-2026-000118</w:t>
      </w:r>
    </w:p>
    <w:p>
      <w:pPr>
        <w:spacing w:after="200" w:before="120"/>
        <w:jc w:val="center"/>
      </w:pPr>
      <w:r/>
    </w:p>
    <w:p>
      <w:pPr>
        <w:spacing w:after="120" w:line="276"/>
      </w:pPr>
      <w:r>
        <w:t xml:space="preserve">I, </w:t>
      </w:r>
      <w:r>
        <w:rPr>
          <w:b/>
          <w:bCs/>
        </w:rPr>
        <w:t xml:space="preserve">DR STEPHEN OKORO</w:t>
      </w:r>
      <w:r>
        <w:t xml:space="preserve">, of Unit 4, Cambourne Science Park, Cambridge CB23 6DP, WILL SAY as follows: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 am the Chief Scientific Officer of the Claimant, Hartwell Pharma Limited. I have held that role since 2021 and have over twenty years’ experience in pharmaceutical process development and quality. I am authorised to make this statement on behalf of the Claimant.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The facts in this statement are within my own knowledge save where I indicate otherwise, in which case I give the source of my information and believe it to be true. There is now produced and shown to me a paginated exhibit bundle marked “SO1” to “SO4” to which I refer.</w:t>
      </w:r>
    </w:p>
    <w:p>
      <w:pPr>
        <w:pStyle w:val="Heading2"/>
      </w:pPr>
      <w:r>
        <w:t xml:space="preserve">My role and the HX-218 programme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HX-218 is Hartwell’s lead small-molecule candidate in oncology, currently in a Phase II clinical study (HX-218/CT-02). The active pharmaceutical ingredient is manufactured for us under contract by the Defendant, Tessaract Bioreagents Limited, under a Supply and Quality Agreement dated 14 February 2024. I had day-to-day oversight of the technical relationship with Tessaract.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Between March 2024 and July 2025 Tessaract supplied six batches of HX-218 API. Each was released against its Certificate of Analysis and met specification. I had no reason to doubt the integrity of their manufacturing process.</w:t>
      </w:r>
    </w:p>
    <w:p>
      <w:pPr>
        <w:pStyle w:val="Heading2"/>
      </w:pPr>
      <w:r>
        <w:t xml:space="preserve">Batch TX-HX218-0461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Batch TX-HX218-0461 was delivered on 5 August 2025. It arrived with a Certificate of Analysis and a Certificate of Conformity, each signed by Tessaract’s qualified person, certifying that the batch met our agreed specification, including assay purity of not less than 99.0% and total related substances of not more than 0.5%. A copy is at exhibit SO1.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Relying on those certificates, my team released the batch into manufacture of clinical lot DP-2025-114 between 18 and 27 August 2025. This lot was intended to supply seven clinical sites for the Phase II study.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On 2 September 2025 our release testing identified an unknown impurity at 0.9% by HPLC area, which exceeded both our 0.2% identification threshold and the 0.5% total related substances limit. I personally reviewed the chromatography. We immediately opened an out-of-specification investigation, OOS-2025-037 (exhibit SO2), and quarantined the lot.</w:t>
      </w:r>
    </w:p>
    <w:p>
      <w:pPr>
        <w:pStyle w:val="Heading2"/>
      </w:pPr>
      <w:r>
        <w:t xml:space="preserve">The investigation and Tessaract’s admission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Our investigation traced the impurity to the API itself rather than to our own process. The impurity profile was characteristic of a degradant arising from an unqualified starting material. We commissioned independent confirmatory testing from Wraysbury Materials Laboratory, whose report (exhibit SO3) confirmed our conclusion.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I raised the matter directly with Tessaract. On a call on 19 September 2025, and subsequently in writing, Tessaract’s technical director admitted that for this batch they had substituted the supplier of the 4-chloro intermediate, using Reyland Fine Chemicals in place of the qualified supplier in our validated process. They confirmed that no change-control notification had been submitted to us. Had any such notification been made, we would not have approved the change without re-qualification, and would never have released the batch. The relevant correspondence is at exhibit SO4.</w:t>
      </w:r>
    </w:p>
    <w:p>
      <w:pPr>
        <w:pStyle w:val="Heading2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Lot DP-2025-114 could not be used and was destroyed. We were required to procure replacement API, repeat the entire manufacturing campaign and associated analytical and stability testing, and manage a delay to the clinical programme, including holding clinical sites on standby. The costs of doing so are set out in the Schedule of Loss, the figures in which I have reviewed and confirm to be accurate so far as they fall within my knowledge.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t xml:space="preserve">Had Tessaract complied with the change-control procedure and supplied conforming API, none of this loss would have been incurred.</w:t>
      </w:r>
    </w:p>
    <w:p>
      <w:pPr>
        <w:spacing w:before="200"/>
      </w:pPr>
      <w:r>
        <w:t xml:space="preserve">STATEMENT OF TRUTH</w:t>
      </w:r>
    </w:p>
    <w:p>
      <w:pPr>
        <w:spacing w:after="120" w:line="276"/>
      </w:pPr>
      <w:r>
        <w:t xml:space="preserve">I believe that the facts stated in this witness statement are true. I understand that proceedings for contempt of court may be brought against anyone who makes, or causes to be made, a false statement in a document verified by a statement of truth without an honest belief in its truth.</w:t>
      </w:r>
    </w:p>
    <w:p>
      <w:pPr>
        <w:spacing w:after="120" w:line="276"/>
      </w:pPr>
      <w:r>
        <w:t xml:space="preserve">Signed: ............................................</w:t>
      </w:r>
    </w:p>
    <w:p>
      <w:pPr>
        <w:spacing w:after="120" w:line="276"/>
      </w:pPr>
      <w:r>
        <w:t xml:space="preserve">Dr Stephen Okoro</w:t>
      </w:r>
    </w:p>
    <w:p>
      <w:pPr>
        <w:spacing w:after="120" w:line="276"/>
      </w:pPr>
      <w:r>
        <w:t xml:space="preserve">Dated: 1 May 2026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Confidential and may be legally privileged.   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134" w:hanging="454"/>
      </w:pPr>
    </w:lvl>
  </w:abstractNum>
  <w:abstractNum w:abstractNumId="4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588" w:hanging="45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2026-06-25T20:08:15.383Z</dcterms:created>
  <dcterms:modified xsi:type="dcterms:W3CDTF">2026-06-25T20:08:15.383Z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