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SIGNING &amp; COMPLETION CHECKLIST</w:t>
      </w:r>
    </w:p>
    <w:p>
      <w:pPr>
        <w:spacing w:after="240"/>
        <w:jc w:val="center"/>
      </w:pPr>
      <w:r>
        <w:rPr>
          <w:i/>
          <w:iCs/>
        </w:rPr>
        <w:t xml:space="preserve">Project Larkspur — as at 14 November 2025</w:t>
      </w:r>
    </w:p>
    <w:p>
      <w:pPr>
        <w:spacing w:after="120"/>
      </w:pPr>
      <w:r>
        <w:t xml:space="preserve">Prepared by Whitfield Carter LLP (Elena Marchetti). Status key: C = complete; O = outstanding; N/A = not applicable.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200"/>
        <w:gridCol w:w="14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Mutual Confidentiality Agreement (executed 8 Aug 2025)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 / Calbryn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Non-binding term sheet (signed 19 Sep 2025)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 / Birchall Stone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IP Due Diligence Report (Hartington IP, 28 Oct 2025)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Hartington IP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Exclusive Licence &amp; Research Collaboration Agreement — final execution version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Disclosure Schedule delivered and agreed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Birchall Stone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Hartwell board resolution approving the transaction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Hartwell / Naomi Adeyemi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Calbryn board resolution approving the transaction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Calbryn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Patent assignment recordal authority (CAL-218 families)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Hartington IP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 of £8,000,000 upfront fee (due within 30 days)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Hartwell / Gregory Mercer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Constitution of the Joint Steering Committee (within 30 days)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Both Parties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Technology-transfer plan and materials transfer (within 60 days)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Both Parties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CAL-301 option: exercise window opens (18 months)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Hartwell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</w:tbl>
    <w:p>
      <w:pPr>
        <w:spacing w:after="120"/>
      </w:pPr>
      <w:r>
        <w:t xml:space="preserve">Note: items 8–11 are post-completion deliverables tracked by the JSC. The upfront fee was paid on 8 December 2025 (cleared funds confirmed by Accounts).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Project Larkspur — Completion Checklist |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2026-06-30T21:00:21.679Z</dcterms:created>
  <dcterms:modified xsi:type="dcterms:W3CDTF">2026-06-30T21:00:21.679Z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