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DISCLOSURE SCHEDULE</w:t>
      </w:r>
    </w:p>
    <w:p>
      <w:pPr>
        <w:spacing w:after="240"/>
        <w:jc w:val="center"/>
      </w:pPr>
      <w:r>
        <w:rPr>
          <w:i/>
          <w:iCs/>
        </w:rPr>
        <w:t xml:space="preserve">Project Larkspur — Exclusive Licence &amp; Research Collaboration Agreement</w:t>
      </w:r>
    </w:p>
    <w:p>
      <w:pPr>
        <w:spacing w:after="120"/>
      </w:pPr>
      <w:r>
        <w:t xml:space="preserve">This Disclosure Schedule is delivered by Calbryn Therapeutics Limited (the “Licensor”) to Hartwell Pharma Limited (the “Licensee”) pursuant to clause 8.1(e) of the Exclusive Licence and Research Collaboration Agreement dated 14 November 2025 (the “Agreement”). Capitalised terms have the meanings given in the Agreement. Matters are disclosed against the warranties in clause 8 and qualify those warranties accordingly.</w:t>
      </w:r>
    </w:p>
    <w:p>
      <w:pPr>
        <w:pStyle w:val="Heading1"/>
      </w:pPr>
      <w:r>
        <w:t xml:space="preserve">1.  General Disclosures</w:t>
      </w:r>
    </w:p>
    <w:p>
      <w:pPr>
        <w:spacing w:after="120"/>
      </w:pPr>
      <w:r>
        <w:t xml:space="preserve">The following are disclosed generally: (a) all matters apparent from the data room hosted at Larkspur-DR (index reference LK-DR v3, made available from 1 October 2025); (b) all matters recorded at the UK Intellectual Property Office and the EPO online registers for the patent families in Schedule 1; and (c) the contents of the IP Due Diligence Report prepared by Hartington IP dated 28 October 2025.</w:t>
      </w:r>
    </w:p>
    <w:p>
      <w:pPr>
        <w:pStyle w:val="Heading1"/>
      </w:pPr>
      <w:r>
        <w:t xml:space="preserve">2.  Specific Disclosures (clause 8.1)</w:t>
      </w:r>
    </w:p>
    <w:p>
      <w:pPr>
        <w:pStyle w:val="Heading2"/>
      </w:pPr>
      <w:r>
        <w:t xml:space="preserve">Against clause 8.1(b) (Patents subsisting and valid)</w:t>
      </w:r>
    </w:p>
    <w:p>
      <w:pPr>
        <w:spacing w:after="120"/>
      </w:pPr>
      <w:r>
        <w:t xml:space="preserve">2.1  Patent family CAL-218-A: a third-party observation was filed at the EPO on 14 April 2025 citing WO 2019/118822 (Mirati) against claims 1–4 of the pending EP application. The Licensor’s patent attorneys consider the observation does not affect the independent claims as amended on 2 June 2025. Prosecution is ongoing.</w:t>
      </w:r>
    </w:p>
    <w:p>
      <w:pPr>
        <w:spacing w:after="120"/>
      </w:pPr>
      <w:r>
        <w:t xml:space="preserve">2.2  Patent family CAL-218-B (crystalline forms): the GB application has received a first examination report dated 9 July 2025 raising objections under section 3 (inventive step) in respect of two dependent claims. A response is due by 9 January 2026.</w:t>
      </w:r>
    </w:p>
    <w:p>
      <w:pPr>
        <w:pStyle w:val="Heading2"/>
      </w:pPr>
      <w:r>
        <w:t xml:space="preserve">Against clause 8.1(c) (No conflicting grant)</w:t>
      </w:r>
    </w:p>
    <w:p>
      <w:pPr>
        <w:spacing w:after="120"/>
      </w:pPr>
      <w:r>
        <w:t xml:space="preserve">2.3  By a sponsored-research agreement with the University of Cambridge dated 3 March 2022, the Licensor granted the University a non-exclusive, royalty-free licence to use the CAL-218 compounds solely for internal, non-commercial academic research. This does not conflict with the licence granted to the Licensee.</w:t>
      </w:r>
    </w:p>
    <w:p>
      <w:pPr>
        <w:pStyle w:val="Heading2"/>
      </w:pPr>
      <w:r>
        <w:t xml:space="preserve">Against clause 8.1(d) (No third-party infringement)</w:t>
      </w:r>
    </w:p>
    <w:p>
      <w:pPr>
        <w:spacing w:after="120"/>
      </w:pPr>
      <w:r>
        <w:t xml:space="preserve">2.4  The freedom-to-operate analysis identified two third-party patent families of potential relevance (Amgen WO 2021/041671 and Boehringer EP 3 805 218). Hartington IP has advised that the CAL-218 chemical series falls outside the claims of both, but the Licensee should keep both under review during development. See section 6 of the IP Due Diligence Report.</w:t>
      </w:r>
    </w:p>
    <w:p>
      <w:pPr>
        <w:pStyle w:val="Heading1"/>
      </w:pPr>
      <w:r>
        <w:t xml:space="preserve">3.  Materials</w:t>
      </w:r>
    </w:p>
    <w:p>
      <w:pPr>
        <w:spacing w:after="120"/>
      </w:pPr>
      <w:r>
        <w:t xml:space="preserve">The Licensor holds approximately 38g of GMP-like CAL-218 drug substance and associated analytical reference standards, which will be transferred to the Licensee under the technology-transfer plan in Schedule 2 within 60 days of the Effective Date.</w:t>
      </w:r>
    </w:p>
    <w:p>
      <w:pPr>
        <w:spacing w:after="120"/>
      </w:pPr>
      <w:r>
        <w:rPr>
          <w:i/>
          <w:iCs/>
        </w:rPr>
        <w:t xml:space="preserve">Delivered on behalf of Calbryn Therapeutics Limited — Marisa Caldwell, Head of IP &amp; Business Development.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Larkspur — Disclosure Schedule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4"/>
      <w:szCs w:val="24"/>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2026-06-30T21:00:21.673Z</dcterms:created>
  <dcterms:modified xsi:type="dcterms:W3CDTF">2026-06-30T21:00:21.673Z</dcterms:modified>
</cp:coreProperties>
</file>

<file path=docProps/custom.xml><?xml version="1.0" encoding="utf-8"?>
<Properties xmlns="http://schemas.openxmlformats.org/officeDocument/2006/custom-properties" xmlns:vt="http://schemas.openxmlformats.org/officeDocument/2006/docPropsVTypes"/>
</file>