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right"/>
      </w:pPr>
      <w:r>
        <w:rPr>
          <w:b/>
          <w:bCs/>
          <w:sz w:val="26"/>
          <w:szCs w:val="26"/>
        </w:rPr>
        <w:t xml:space="preserve">Whitfield Carter LLP</w:t>
      </w:r>
    </w:p>
    <w:p>
      <w:pPr>
        <w:spacing w:after="0"/>
        <w:jc w:val="right"/>
      </w:pPr>
      <w:r>
        <w:rPr>
          <w:color w:val="555555"/>
          <w:sz w:val="16"/>
          <w:szCs w:val="16"/>
        </w:rPr>
        <w:t xml:space="preserve">22 Bishopsgate, London EC2N 4BQ</w:t>
      </w:r>
    </w:p>
    <w:p>
      <w:pPr>
        <w:pBdr>
          <w:bottom w:val="single" w:color="2E75B6" w:sz="6" w:space="4"/>
        </w:pBdr>
        <w:spacing w:after="240"/>
        <w:jc w:val="right"/>
      </w:pPr>
      <w:r>
        <w:rPr>
          <w:color w:val="555555"/>
          <w:sz w:val="16"/>
          <w:szCs w:val="16"/>
        </w:rPr>
        <w:t xml:space="preserve">T +44 (0)20 7946 5500  |  www.whitfieldcarter.com</w:t>
      </w:r>
    </w:p>
    <w:p>
      <w:pPr>
        <w:spacing w:after="0"/>
      </w:pPr>
      <w:r>
        <w:t xml:space="preserve">Dr Helena Vance</w:t>
      </w:r>
    </w:p>
    <w:p>
      <w:pPr>
        <w:spacing w:after="0"/>
      </w:pPr>
      <w:r>
        <w:t xml:space="preserve">Chief Executive Officer</w:t>
      </w:r>
    </w:p>
    <w:p>
      <w:pPr>
        <w:spacing w:after="0"/>
      </w:pPr>
      <w:r>
        <w:t xml:space="preserve">Hartwell Pharma Limited</w:t>
      </w:r>
    </w:p>
    <w:p>
      <w:pPr>
        <w:spacing w:after="200"/>
      </w:pPr>
      <w:r>
        <w:t xml:space="preserve">Hartwell House, 18 Mortimer Street, London W1T 3JH</w:t>
      </w:r>
    </w:p>
    <w:p>
      <w:pPr>
        <w:spacing w:after="200"/>
      </w:pPr>
      <w:r>
        <w:t xml:space="preserve">12 August 2025</w:t>
      </w:r>
    </w:p>
    <w:p>
      <w:pPr>
        <w:spacing w:after="120"/>
      </w:pPr>
      <w:r>
        <w:t xml:space="preserve">Dear Dr Vance</w:t>
      </w:r>
    </w:p>
    <w:p>
      <w:pPr>
        <w:spacing w:after="120"/>
      </w:pPr>
      <w:r>
        <w:rPr>
          <w:b/>
          <w:bCs/>
        </w:rPr>
        <w:t xml:space="preserve">Project Larkspur — Exclusive Licence of the CAL-218 Programme from Calbryn Therapeutics Limited</w:t>
      </w:r>
    </w:p>
    <w:p>
      <w:pPr>
        <w:spacing w:after="120"/>
      </w:pPr>
      <w:r>
        <w:t xml:space="preserve">Thank you for instructing Whitfield Carter LLP in connection with Hartwell Pharma Limited’s proposed in-licensing of Calbryn Therapeutics Limited’s pre-clinical KRAS G12D oncology programme (CAL-218), together with the associated research collaboration. This letter, with the enclosed Standard Terms of Business, sets out the basis on which we will act.</w:t>
      </w:r>
    </w:p>
    <w:p>
      <w:pPr>
        <w:pStyle w:val="Heading2"/>
      </w:pPr>
      <w:r>
        <w:t xml:space="preserve">Scope of work</w:t>
      </w:r>
    </w:p>
    <w:p>
      <w:pPr>
        <w:spacing w:after="120"/>
      </w:pPr>
      <w:r>
        <w:t xml:space="preserve">Our engagement covers: (i) intellectual-property and scientific due diligence on the CAL-218 patent estate and freedom-to-operate position; (ii) drafting and negotiation of the Exclusive Licence and Research Collaboration Agreement, the disclosure schedule and ancillary documents; (iii) advising on the option arrangements over CAL-301; and (iv) corporate authorisations and completion. The engagement does not include patent prosecution, regulatory submissions, or tax structuring advice, which (if required) we will scope separately.</w:t>
      </w:r>
    </w:p>
    <w:p>
      <w:pPr>
        <w:pStyle w:val="Heading2"/>
      </w:pPr>
      <w:r>
        <w:t xml:space="preserve">Our team and rates</w:t>
      </w:r>
    </w:p>
    <w:p>
      <w:pPr>
        <w:spacing w:after="120"/>
      </w:pPr>
      <w:r>
        <w:t xml:space="preserve">Sarah Whitfield (Partner) has overall responsibility, supported by James Osei (Senior Associate) and Elena Marchetti (Associate). Patent and freedom-to-operate input will be co-ordinated with Hartington IP. Our current hourly rates are £695 (Partner), £445 (Senior Associate) and £305 (Associate), exclusive of VAT and disbursements.</w:t>
      </w:r>
    </w:p>
    <w:p>
      <w:pPr>
        <w:pStyle w:val="Heading2"/>
      </w:pPr>
      <w:r>
        <w:t xml:space="preserve">Fee estimate</w:t>
      </w:r>
    </w:p>
    <w:p>
      <w:pPr>
        <w:spacing w:after="120"/>
      </w:pPr>
      <w:r>
        <w:t xml:space="preserve">We estimate our fees for the matter through to signing and completion at between £140,000 and £180,000 plus VAT and disbursements, on the assumption that the transaction proceeds broadly as a single negotiated licence without contested litigation. We will notify you promptly if it appears the estimate will be exceeded.</w:t>
      </w:r>
    </w:p>
    <w:p>
      <w:pPr>
        <w:pStyle w:val="Heading2"/>
      </w:pPr>
      <w:r>
        <w:t xml:space="preserve">Conflicts and confidentiality</w:t>
      </w:r>
    </w:p>
    <w:p>
      <w:pPr>
        <w:spacing w:after="120"/>
      </w:pPr>
      <w:r>
        <w:t xml:space="preserve">We have carried out a conflict check and identified no conflict preventing us from acting. We will keep your affairs confidential in accordance with our professional obligations and the Standard Terms of Business.</w:t>
      </w:r>
    </w:p>
    <w:p>
      <w:pPr>
        <w:spacing w:after="120"/>
      </w:pPr>
      <w:r>
        <w:t xml:space="preserve">Please countersign and return the enclosed copy to confirm your acceptance of these terms.</w:t>
      </w:r>
    </w:p>
    <w:p>
      <w:pPr>
        <w:spacing w:after="120"/>
      </w:pPr>
      <w:r>
        <w:t xml:space="preserve">Yours sincerely</w:t>
      </w:r>
    </w:p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Sarah Whitfield</w:t>
      </w:r>
    </w:p>
    <w:p>
      <w:pPr>
        <w:spacing w:after="120"/>
      </w:pPr>
      <w:r>
        <w:t xml:space="preserve">Partner, Whitfield Carter LLP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Whitfield Carter LLP |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2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2026-06-30T21:00:21.667Z</dcterms:created>
  <dcterms:modified xsi:type="dcterms:W3CDTF">2026-06-30T21:00:21.667Z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