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NON-BINDING TERM SHEET</w:t>
      </w:r>
    </w:p>
    <w:p>
      <w:pPr>
        <w:spacing w:after="60"/>
        <w:jc w:val="center"/>
      </w:pPr>
      <w:r>
        <w:rPr>
          <w:i/>
          <w:iCs/>
        </w:rPr>
        <w:t xml:space="preserve">Project Larkspur — Exclusive Licence &amp; Research Collaboration</w:t>
      </w:r>
    </w:p>
    <w:p>
      <w:pPr>
        <w:spacing w:after="240"/>
        <w:jc w:val="center"/>
      </w:pPr>
      <w:r>
        <w:rPr>
          <w:sz w:val="18"/>
          <w:szCs w:val="18"/>
        </w:rPr>
        <w:t xml:space="preserve">Dated 19 September 2025</w:t>
      </w:r>
    </w:p>
    <w:p>
      <w:pPr>
        <w:spacing w:after="120"/>
      </w:pPr>
      <w:r>
        <w:t xml:space="preserve">This term sheet records the principal terms on which Calbryn Therapeutics Limited (the “Licensor”) proposes to grant Hartwell Pharma Limited (the “Licensee”) an exclusive worldwide licence to the CAL-218 KRAS G12D programme. Save for the sections headed Exclusivity, Confidentiality and Costs, this term sheet is not legally binding.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Licensed Asset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CAL-218 (pre-clinical KRAS G12D inhibitor) and back-ups; patent families CAL-218-A/B/C. Option over CAL-301.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Grant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Exclusive (even as to Licensor), worldwide, royalty-bearing licence in oncology, with right to sub-licence.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Upfront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£8,000,000 payable within 30 days of signing.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Option fee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£3,000,000 on exercise of the CAL-301 option (18-month option period).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Milestones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 to £62,000,000 in aggregate (development/regulatory £42m; sales £20m).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Royalties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Tiered on Net Sales: 7% / 9% / 11% / 12% across the agreed sales bands.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Collaboration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Two-year joint research programme; Licensee funds up to £2.4m; governed by a JSC.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Diligence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Commercially Reasonable Efforts; IND/CTA acceptance within 36 months.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Liability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Licensor cap at amounts paid in preceding 24 months; uplift to £20m for title/no-conflict warranties.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Governing law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England and Wales; exclusive jurisdiction of the English courts.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Exclusivity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Licensor to negotiate exclusively with Licensee for 60 days from the date of this term sheet.</w:t>
            </w:r>
          </w:p>
        </w:tc>
      </w:tr>
    </w:tbl>
    <w:p>
      <w:pPr>
        <w:spacing w:after="120"/>
      </w:pPr>
      <w:r>
        <w:rPr>
          <w:i/>
          <w:iCs/>
        </w:rPr>
        <w:t xml:space="preserve">Agreed in principle, subject to contract and to satisfactory completion of intellectual-property and scientific due diligence.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Project Larkspur — Term Sheet |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2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2026-06-30T21:00:21.657Z</dcterms:created>
  <dcterms:modified xsi:type="dcterms:W3CDTF">2026-06-30T21:00:21.657Z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