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0"/>
          <w:szCs w:val="30"/>
        </w:rPr>
        <w:t xml:space="preserve">Whitfield Carter LLP</w:t>
      </w:r>
    </w:p>
    <w:p>
      <w:pPr>
        <w:spacing w:after="0"/>
      </w:pPr>
      <w:r>
        <w:rPr>
          <w:color w:val="555555"/>
          <w:sz w:val="18"/>
          <w:szCs w:val="18"/>
        </w:rPr>
        <w:t xml:space="preserve">22 Bishopsgate, London EC2N 4BQ</w:t>
      </w:r>
    </w:p>
    <w:p>
      <w:pPr>
        <w:pBdr>
          <w:bottom w:val="single" w:color="2E4B7A" w:sz="6" w:space="2"/>
        </w:pBdr>
        <w:spacing w:after="120"/>
      </w:pPr>
      <w:r>
        <w:rPr>
          <w:color w:val="777777"/>
          <w:sz w:val="16"/>
          <w:szCs w:val="16"/>
        </w:rPr>
        <w:t xml:space="preserve">T +44 (0)20 7946 0118   DX 178 London/Chancery Lane</w:t>
      </w:r>
    </w:p>
    <w:p>
      <w:pPr>
        <w:spacing w:after="40" w:line="276"/>
        <w:jc w:val="center"/>
      </w:pPr>
      <w:r>
        <w:rPr>
          <w:b/>
          <w:bCs/>
          <w:sz w:val="26"/>
          <w:szCs w:val="26"/>
        </w:rPr>
        <w:t xml:space="preserve">COMPLETION CHECKLIST</w:t>
      </w:r>
    </w:p>
    <w:p>
      <w:pPr>
        <w:spacing w:after="40" w:line="276"/>
        <w:jc w:val="center"/>
      </w:pPr>
      <w:r>
        <w:rPr>
          <w:i/>
          <w:iCs/>
        </w:rPr>
        <w:t xml:space="preserve">Project Lyra — HRX-218 Patent and Know-How Licence</w:t>
      </w:r>
    </w:p>
    <w:p>
      <w:pPr>
        <w:spacing w:after="200" w:line="276"/>
        <w:jc w:val="center"/>
      </w:pPr>
      <w:r>
        <w:rPr>
          <w:sz w:val="18"/>
          <w:szCs w:val="18"/>
        </w:rPr>
        <w:t xml:space="preserve">Signing and Completion: 30 January 2026</w:t>
      </w:r>
    </w:p>
    <w:p>
      <w:pPr>
        <w:spacing w:after="120" w:line="276"/>
      </w:pPr>
      <w:r>
        <w:rPr>
          <w:sz w:val="18"/>
          <w:szCs w:val="18"/>
        </w:rPr>
        <w:t xml:space="preserve">Key: WC = Whitfield Carter LLP (Hartwell); BS = Birchall Stone LLP (Calderbrook); HIP = Hartington IP.</w:t>
      </w:r>
    </w:p>
    <w:p>
      <w:pPr>
        <w:pStyle w:val="Heading2"/>
      </w:pPr>
      <w:r>
        <w:t xml:space="preserve">Part A — Conditions to signing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2100"/>
        <w:gridCol w:w="15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Board approval of Hartwell to enter into the Licence (resolution / written resolution)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Hartwell / WC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Done 28 Jan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Board / shareholder approval of Calderbrook (incl. Aldridge Seed LP investor consent)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Calderbrook / BS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Done 29 Jan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Disclosure Schedule agreed and delivered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BS / WC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Done 30 Jan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Final FTO and chain-of-title confirmation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HIP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Done 8 Jan</w:t>
            </w:r>
          </w:p>
        </w:tc>
      </w:tr>
    </w:tbl>
    <w:p>
      <w:pPr>
        <w:pStyle w:val="Heading2"/>
      </w:pPr>
      <w:r>
        <w:t xml:space="preserve">Part B — Documents to be signed at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2100"/>
        <w:gridCol w:w="15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Signatories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B1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Patent and Know-How Licence Agreement (execution version)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Both parties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PDF / DocuSign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B2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Deed of Release of Aldridge Seed charge over the Licensed Patents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Aldridge Seed LP / Calderbrook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Deed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B3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Patent assignment recordal confirmations (chain of title)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HIP to file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EPO/USPTO forms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B4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Technology-transfer plan acknowledgement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Both parties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Letter</w:t>
            </w:r>
          </w:p>
        </w:tc>
      </w:tr>
    </w:tbl>
    <w:p>
      <w:pPr>
        <w:pStyle w:val="Heading2"/>
      </w:pPr>
      <w:r>
        <w:t xml:space="preserve">Part C — Post-completion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2100"/>
        <w:gridCol w:w="15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Pay upfront fee of £6,000,000 to Calderbrook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Hartwell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 BD post-signing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Record Hartwell as exclusive licensee on the patent registers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HIP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Commence technology transfer (materials, data, CMC package)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Calderbrook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First Joint Steering Committee meeting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45 days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20" w:line="276"/>
      </w:pPr>
      <w:r>
        <w:rPr>
          <w:i/>
          <w:iCs/>
          <w:sz w:val="18"/>
          <w:szCs w:val="18"/>
        </w:rPr>
        <w:t xml:space="preserve">Prepared by Whitfield Carter LLP. This checklist is a working document and is not itself a transaction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color w:val="888888"/>
        <w:sz w:val="14"/>
        <w:szCs w:val="14"/>
      </w:rPr>
      <w:t xml:space="preserve">Whitfield Carter LLP is a limited liability partnership registered in England and Wales (OC384217). Confidential and may be legally privileged.</w:t>
    </w:r>
  </w:p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jc w:val="right"/>
    </w:pPr>
    <w:r>
      <w:rPr>
        <w:color w:val="999999"/>
        <w:sz w:val="15"/>
        <w:szCs w:val="15"/>
      </w:rPr>
      <w:t xml:space="preserve">Project Lyra — 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2026-06-27T13:41:09.580Z</dcterms:created>
  <dcterms:modified xsi:type="dcterms:W3CDTF">2026-06-27T13:41:09.580Z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