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sz w:val="30"/>
          <w:szCs w:val="30"/>
        </w:rPr>
        <w:t xml:space="preserve">Whitfield Carter LLP</w:t>
      </w:r>
    </w:p>
    <w:p>
      <w:pPr>
        <w:spacing w:after="0"/>
      </w:pPr>
      <w:r>
        <w:rPr>
          <w:color w:val="555555"/>
          <w:sz w:val="18"/>
          <w:szCs w:val="18"/>
        </w:rPr>
        <w:t xml:space="preserve">22 Bishopsgate, London EC2N 4BQ</w:t>
      </w:r>
    </w:p>
    <w:p>
      <w:pPr>
        <w:pBdr>
          <w:bottom w:val="single" w:color="2E4B7A" w:sz="6" w:space="2"/>
        </w:pBdr>
        <w:spacing w:after="120"/>
      </w:pPr>
      <w:r>
        <w:rPr>
          <w:color w:val="777777"/>
          <w:sz w:val="16"/>
          <w:szCs w:val="16"/>
        </w:rPr>
        <w:t xml:space="preserve">T +44 (0)20 7946 0118   DX 178 London/Chancery Lane</w:t>
      </w:r>
    </w:p>
    <w:p>
      <w:pPr>
        <w:spacing w:after="40" w:line="276"/>
        <w:jc w:val="center"/>
      </w:pPr>
      <w:r>
        <w:rPr>
          <w:b/>
          <w:bCs/>
          <w:sz w:val="26"/>
          <w:szCs w:val="26"/>
        </w:rPr>
        <w:t xml:space="preserve">DISCLOSURE SCHEDULE</w:t>
      </w:r>
    </w:p>
    <w:p>
      <w:pPr>
        <w:spacing w:after="40" w:line="276"/>
        <w:jc w:val="center"/>
      </w:pPr>
      <w:r>
        <w:rPr>
          <w:i/>
          <w:iCs/>
        </w:rPr>
        <w:t xml:space="preserve">to the Patent and Know-How Licence Agreement relating to the HRX-218 Compound Family</w:t>
      </w:r>
    </w:p>
    <w:p>
      <w:pPr>
        <w:spacing w:after="200" w:line="276"/>
        <w:jc w:val="center"/>
      </w:pPr>
      <w:r>
        <w:rPr>
          <w:sz w:val="18"/>
          <w:szCs w:val="18"/>
        </w:rPr>
        <w:t xml:space="preserve">Calderbrook Oncology Limited (Licensor) — disclosures against the Warranties</w:t>
      </w:r>
    </w:p>
    <w:p>
      <w:pPr>
        <w:spacing w:after="160" w:line="276"/>
        <w:jc w:val="right"/>
      </w:pPr>
      <w:r>
        <w:t xml:space="preserve">Dated 30 January 2026</w:t>
      </w:r>
    </w:p>
    <w:p>
      <w:pPr>
        <w:pStyle w:val="Heading2"/>
      </w:pPr>
      <w:r>
        <w:t xml:space="preserve">1. Introduction</w:t>
      </w:r>
    </w:p>
    <w:p>
      <w:pPr>
        <w:spacing w:after="120" w:line="276"/>
      </w:pPr>
      <w:r>
        <w:t xml:space="preserve">This Disclosure Schedule is delivered by Calderbrook Oncology Limited (the “Licensor”) under clause 9 (Warranties) of the Patent and Know-How Licence Agreement of even date (the “Licence”) between the Licensor and Hartwell Pharma Limited. Terms defined in the Licence have the same meaning here.</w:t>
      </w:r>
    </w:p>
    <w:p>
      <w:pPr>
        <w:spacing w:after="120" w:line="276"/>
      </w:pPr>
      <w:r>
        <w:t xml:space="preserve">The Warranties are given subject to, and qualified by, the matters fairly disclosed in this Schedule. A matter disclosed against one Warranty is disclosed against all Warranties to which it is relevant on its face. Documents in the data room hosted at the Intralinks workspace “Project Lyra” as at 28 January 2026 (the “Data Room”) are deemed disclosed.</w:t>
      </w:r>
    </w:p>
    <w:p>
      <w:pPr>
        <w:pStyle w:val="Heading2"/>
      </w:pPr>
      <w:r>
        <w:t xml:space="preserve">2. General disclosures</w:t>
      </w:r>
    </w:p>
    <w:p>
      <w:pPr>
        <w:pStyle w:val="ListParagraph"/>
        <w:numPr>
          <w:ilvl w:val="0"/>
          <w:numId w:val="2"/>
        </w:numPr>
        <w:spacing w:after="80" w:line="276"/>
      </w:pPr>
      <w:r>
        <w:t xml:space="preserve">Matters provided for or referred to in the Licence and its other Schedules.</w:t>
      </w:r>
    </w:p>
    <w:p>
      <w:pPr>
        <w:pStyle w:val="ListParagraph"/>
        <w:numPr>
          <w:ilvl w:val="0"/>
          <w:numId w:val="2"/>
        </w:numPr>
        <w:spacing w:after="80" w:line="276"/>
      </w:pPr>
      <w:r>
        <w:t xml:space="preserve">Matters apparent from the Patent Schedule and from the public registers of the UK Intellectual Property Office, the EPO, the USPTO and the WIPO PCT system.</w:t>
      </w:r>
    </w:p>
    <w:p>
      <w:pPr>
        <w:pStyle w:val="ListParagraph"/>
        <w:numPr>
          <w:ilvl w:val="0"/>
          <w:numId w:val="2"/>
        </w:numPr>
        <w:spacing w:after="80" w:line="276"/>
      </w:pPr>
      <w:r>
        <w:t xml:space="preserve">Matters disclosed in the Data Room index (folders 1–7).</w:t>
      </w:r>
    </w:p>
    <w:p>
      <w:pPr>
        <w:pStyle w:val="Heading2"/>
      </w:pPr>
      <w:r>
        <w:t xml:space="preserve">3. Specific disclosures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Warranty</w:t>
            </w:r>
          </w:p>
        </w:tc>
        <w:tc>
          <w:tcPr>
            <w:tcW w:type="dxa" w:w="666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Disclosure</w:t>
            </w:r>
          </w:p>
        </w:tc>
      </w:tr>
      <w:tr>
        <w:tc>
          <w:tcPr>
            <w:tcW w:type="dxa" w:w="2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9.2 (Ownership / chain of title)</w:t>
            </w:r>
          </w:p>
        </w:tc>
        <w:tc>
          <w:tcPr>
            <w:tcW w:type="dxa" w:w="66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Patent family HRX-218-EP was assigned to the Licensor by its founder, Dr Marianne Leitner, by assignment dated 14 March 2019 (Data Room 3.1). The recordal of that assignment at the EPO was completed on 2 May 2019; the corresponding USPTO recordal was completed on 11 June 2019 (Data Room 3.2).</w:t>
            </w:r>
          </w:p>
        </w:tc>
      </w:tr>
      <w:tr>
        <w:tc>
          <w:tcPr>
            <w:tcW w:type="dxa" w:w="2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9.3 (No encumbrances)</w:t>
            </w:r>
          </w:p>
        </w:tc>
        <w:tc>
          <w:tcPr>
            <w:tcW w:type="dxa" w:w="66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The Licensed Patents are subject to a fixed charge granted to Aldridge Seed LP under a debenture dated 9 July 2020 (Data Room 5.4). A deed of release conditional on completion has been agreed and is at Data Room 5.5; a clean copy will be delivered at Completion.</w:t>
            </w:r>
          </w:p>
        </w:tc>
      </w:tr>
      <w:tr>
        <w:tc>
          <w:tcPr>
            <w:tcW w:type="dxa" w:w="2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9.4 (No proceedings / challenges)</w:t>
            </w:r>
          </w:p>
        </w:tc>
        <w:tc>
          <w:tcPr>
            <w:tcW w:type="dxa" w:w="66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A third-party observation was filed against application HRX-218-EP-DIV1 at the EPO on 21 November 2024 by an unidentified party (Data Room 3.6). The Licensor’s patent attorneys (Hartington IP) consider it does not affect the granted parent claims; their opinion of 12 December 2024 is at Data Room 3.7.</w:t>
            </w:r>
          </w:p>
        </w:tc>
      </w:tr>
      <w:tr>
        <w:tc>
          <w:tcPr>
            <w:tcW w:type="dxa" w:w="2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9.5 (Existing licences)</w:t>
            </w:r>
          </w:p>
        </w:tc>
        <w:tc>
          <w:tcPr>
            <w:tcW w:type="dxa" w:w="66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A non-exclusive research-only licence was granted to the University of Cambridge under a Material Transfer and Research Licence dated 1 February 2021 (Data Room 4.2), limited to non-commercial academic research and excluding the Field on a commercial basis.</w:t>
            </w:r>
          </w:p>
        </w:tc>
      </w:tr>
      <w:tr>
        <w:tc>
          <w:tcPr>
            <w:tcW w:type="dxa" w:w="2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9.6 (Third-party rights / FTO)</w:t>
            </w:r>
          </w:p>
        </w:tc>
        <w:tc>
          <w:tcPr>
            <w:tcW w:type="dxa" w:w="66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The freedom-to-operate review by Hartington IP dated 8 January 2026 (Data Room 6.1) identifies one potentially relevant third-party patent, EP'318 (Verrane Biosciences), expiring 2027, and concludes the risk is low. No licence under EP'318 is held.</w:t>
            </w:r>
          </w:p>
        </w:tc>
      </w:tr>
      <w:tr>
        <w:tc>
          <w:tcPr>
            <w:tcW w:type="dxa" w:w="2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9.8 (Grants / funding)</w:t>
            </w:r>
          </w:p>
        </w:tc>
        <w:tc>
          <w:tcPr>
            <w:tcW w:type="dxa" w:w="66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The early medicinal-chemistry work was part-funded by an Innovate UK grant (ref 104772) completed in 2018; the grant terms contain no continuing IP reach-through (Data Room 7.3).</w:t>
            </w:r>
          </w:p>
        </w:tc>
      </w:tr>
    </w:tbl>
    <w:p>
      <w:pPr>
        <w:spacing w:after="160" w:line="276"/>
      </w:pPr>
      <w:r>
        <w:t xml:space="preserve"/>
      </w:r>
    </w:p>
    <w:p>
      <w:pPr>
        <w:spacing w:after="160" w:line="276"/>
      </w:pPr>
      <w:r>
        <w:rPr>
          <w:b/>
          <w:bCs/>
        </w:rPr>
        <w:t xml:space="preserve">Delivered for and on behalf of Calderbrook Oncology Limited</w:t>
      </w:r>
    </w:p>
    <w:p>
      <w:pPr>
        <w:spacing w:after="120" w:line="276"/>
      </w:pPr>
      <w:r>
        <w:t xml:space="preserve">Signature: ..........................................   Name: Dr Lukas Brandt   Title: Chief Executive Officer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60"/>
    </w:pPr>
    <w:r>
      <w:rPr>
        <w:color w:val="888888"/>
        <w:sz w:val="14"/>
        <w:szCs w:val="14"/>
      </w:rPr>
      <w:t xml:space="preserve">Whitfield Carter LLP is a limited liability partnership registered in England and Wales (OC384217). Confidential and may be legally privileged.</w:t>
    </w:r>
  </w:p>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2"/>
      </w:pBdr>
      <w:jc w:val="right"/>
    </w:pPr>
    <w:r>
      <w:rPr>
        <w:color w:val="999999"/>
        <w:sz w:val="15"/>
        <w:szCs w:val="15"/>
      </w:rPr>
      <w:t xml:space="preserve">Project Lyra — Disclosure Schedule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2026-06-27T13:41:09.560Z</dcterms:created>
  <dcterms:modified xsi:type="dcterms:W3CDTF">2026-06-27T13:41:09.560Z</dcterms:modified>
</cp:coreProperties>
</file>

<file path=docProps/custom.xml><?xml version="1.0" encoding="utf-8"?>
<Properties xmlns="http://schemas.openxmlformats.org/officeDocument/2006/custom-properties" xmlns:vt="http://schemas.openxmlformats.org/officeDocument/2006/docPropsVTypes"/>
</file>