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0"/>
          <w:szCs w:val="30"/>
        </w:rPr>
        <w:t xml:space="preserve">Whitfield Carter LLP</w:t>
      </w:r>
    </w:p>
    <w:p>
      <w:pPr>
        <w:spacing w:after="0"/>
      </w:pPr>
      <w:r>
        <w:rPr>
          <w:color w:val="555555"/>
          <w:sz w:val="18"/>
          <w:szCs w:val="18"/>
        </w:rPr>
        <w:t xml:space="preserve">22 Bishopsgate, London EC2N 4BQ</w:t>
      </w:r>
    </w:p>
    <w:p>
      <w:pPr>
        <w:pBdr>
          <w:bottom w:val="single" w:color="2E4B7A" w:sz="6" w:space="2"/>
        </w:pBdr>
        <w:spacing w:after="120"/>
      </w:pPr>
      <w:r>
        <w:rPr>
          <w:color w:val="777777"/>
          <w:sz w:val="16"/>
          <w:szCs w:val="16"/>
        </w:rPr>
        <w:t xml:space="preserve">T +44 (0)20 7946 0118   DX 178 London/Chancery Lane</w:t>
      </w:r>
    </w:p>
    <w:p>
      <w:pPr>
        <w:spacing w:after="60" w:line="276"/>
      </w:pPr>
      <w:r>
        <w:rPr>
          <w:i/>
          <w:iCs/>
        </w:rPr>
        <w:t xml:space="preserve">Strictly private and confidential</w:t>
      </w:r>
    </w:p>
    <w:p>
      <w:pPr>
        <w:spacing w:after="0" w:line="276"/>
      </w:pPr>
      <w:r>
        <w:t xml:space="preserve">Dr Helena Vance</w:t>
      </w:r>
    </w:p>
    <w:p>
      <w:pPr>
        <w:spacing w:after="0" w:line="276"/>
      </w:pPr>
      <w:r>
        <w:t xml:space="preserve">Chief Executive Officer</w:t>
      </w:r>
    </w:p>
    <w:p>
      <w:pPr>
        <w:spacing w:after="0" w:line="276"/>
      </w:pPr>
      <w:r>
        <w:t xml:space="preserve">Hartwell Pharma Limited</w:t>
      </w:r>
    </w:p>
    <w:p>
      <w:pPr>
        <w:spacing w:after="200" w:line="276"/>
      </w:pPr>
      <w:r>
        <w:t xml:space="preserve">Gunnersbury House, 1 Chapel Lane, Cambridge CB2 1RT</w:t>
      </w:r>
    </w:p>
    <w:p>
      <w:pPr>
        <w:spacing w:after="200" w:line="276"/>
        <w:jc w:val="right"/>
      </w:pPr>
      <w:r>
        <w:t xml:space="preserve">12 September 2025</w:t>
      </w:r>
    </w:p>
    <w:p>
      <w:pPr>
        <w:spacing w:after="120" w:line="276"/>
      </w:pPr>
      <w:r>
        <w:t xml:space="preserve">Dear Helena</w:t>
      </w:r>
    </w:p>
    <w:p>
      <w:pPr>
        <w:spacing w:after="120" w:line="276"/>
      </w:pPr>
      <w:r>
        <w:rPr>
          <w:b/>
          <w:bCs/>
        </w:rPr>
        <w:t xml:space="preserve">Project Lyra — proposed exclusive licence of the HRX-218 (KRAS G12C inhibitor) compound family from Calderbrook Oncology Limited</w:t>
      </w:r>
    </w:p>
    <w:p>
      <w:pPr>
        <w:spacing w:after="120" w:line="276"/>
      </w:pPr>
      <w:r>
        <w:t xml:space="preserve">Thank you for instructing Whitfield Carter LLP in connection with Hartwell Pharma Limited's (“Hartwell” or “you”) proposed in-licensing of the HRX-218 small-molecule oncology compound family from Calderbrook Oncology Limited (“Calderbrook”). This letter, together with our enclosed standard terms of business, sets out the basis on which we will act.</w:t>
      </w:r>
    </w:p>
    <w:p>
      <w:pPr>
        <w:pStyle w:val="Heading2"/>
      </w:pPr>
      <w:r>
        <w:t xml:space="preserve">1. Scope of our engagement</w:t>
      </w:r>
    </w:p>
    <w:p>
      <w:pPr>
        <w:spacing w:after="120" w:line="276"/>
      </w:pPr>
      <w:r>
        <w:t xml:space="preserve">Our instructions are to advise on and document the proposed exclusive, worldwide licence of the HRX-218 patent and know-how estate for use in human oncology, including:</w:t>
      </w:r>
    </w:p>
    <w:p>
      <w:pPr>
        <w:pStyle w:val="ListParagraph"/>
        <w:numPr>
          <w:ilvl w:val="0"/>
          <w:numId w:val="2"/>
        </w:numPr>
        <w:spacing w:after="80" w:line="276"/>
      </w:pPr>
      <w:r>
        <w:t xml:space="preserve">preparing and negotiating a confidentiality agreement and a non-binding term sheet with Calderbrook and its advisers;</w:t>
      </w:r>
    </w:p>
    <w:p>
      <w:pPr>
        <w:pStyle w:val="ListParagraph"/>
        <w:numPr>
          <w:ilvl w:val="0"/>
          <w:numId w:val="2"/>
        </w:numPr>
        <w:spacing w:after="80" w:line="276"/>
      </w:pPr>
      <w:r>
        <w:t xml:space="preserve">conducting legal and patent due diligence on the licensed intellectual property, including freedom-to-operate and chain-of-title review (patent prosecution support to be provided by your patent attorneys, Hartington IP);</w:t>
      </w:r>
    </w:p>
    <w:p>
      <w:pPr>
        <w:pStyle w:val="ListParagraph"/>
        <w:numPr>
          <w:ilvl w:val="0"/>
          <w:numId w:val="2"/>
        </w:numPr>
        <w:spacing w:after="80" w:line="276"/>
      </w:pPr>
      <w:r>
        <w:t xml:space="preserve">drafting and negotiating the Patent and Know-How Licence Agreement and its schedules; and</w:t>
      </w:r>
    </w:p>
    <w:p>
      <w:pPr>
        <w:pStyle w:val="ListParagraph"/>
        <w:numPr>
          <w:ilvl w:val="0"/>
          <w:numId w:val="2"/>
        </w:numPr>
        <w:spacing w:after="80" w:line="276"/>
      </w:pPr>
      <w:r>
        <w:t xml:space="preserve">advising on signing, completion and the post-completion patent recordal and technology-transfer steps.</w:t>
      </w:r>
    </w:p>
    <w:p>
      <w:pPr>
        <w:spacing w:after="120" w:line="276"/>
      </w:pPr>
      <w:r>
        <w:t xml:space="preserve">We are not instructed to advise on the scientific or commercial merits of HRX-218, on tax structuring (on which Marlow Tax &amp; Advisory are advising) or on regulatory strategy with the MHRA/EMA/FDA, save as those matters bear on the terms of the Licence.</w:t>
      </w:r>
    </w:p>
    <w:p>
      <w:pPr>
        <w:pStyle w:val="Heading2"/>
      </w:pPr>
      <w:r>
        <w:t xml:space="preserve">2. Our team</w:t>
      </w:r>
    </w:p>
    <w:p>
      <w:pPr>
        <w:spacing w:after="120" w:line="276"/>
      </w:pPr>
      <w:r>
        <w:t xml:space="preserve">Sarah Whitfield (Partner) has overall responsibility for the matter. The day-to-day team comprises James Osei (Senior Associate) and Elena Marchetti (Associate). Patent-specific input will be co-ordinated with Dr Alan Foster of Hartington IP.</w:t>
      </w:r>
    </w:p>
    <w:p>
      <w:pPr>
        <w:pStyle w:val="Heading2"/>
      </w:pPr>
      <w:r>
        <w:t xml:space="preserve">3. Fees and estimate</w:t>
      </w:r>
    </w:p>
    <w:p>
      <w:pPr>
        <w:spacing w:after="120" w:line="276"/>
      </w:pPr>
      <w:r>
        <w:t xml:space="preserve">Our charges are based on time spent at the hourly rates set out in the enclosed schedule (Partner £695, Senior Associate £475, Associate £360, plus VAT). On the assumption of a single negotiated licence reaching signing within approximately four to five months, we estimate our fees for the matter at between £95,000 and £130,000 plus VAT and disbursements. We will tell you promptly if it appears our fees are likely to exceed this range.</w:t>
      </w:r>
    </w:p>
    <w:p>
      <w:pPr>
        <w:pStyle w:val="Heading2"/>
      </w:pPr>
      <w:r>
        <w:t xml:space="preserve">4. Conflicts and confidentiality</w:t>
      </w:r>
    </w:p>
    <w:p>
      <w:pPr>
        <w:spacing w:after="120" w:line="276"/>
      </w:pPr>
      <w:r>
        <w:t xml:space="preserve">We have carried out a conflict check and are not aware of any conflict that prevents us acting for you on this matter. We will keep your affairs confidential in accordance with our professional obligations and the enclosed terms of business.</w:t>
      </w:r>
    </w:p>
    <w:p>
      <w:pPr>
        <w:spacing w:after="120" w:line="276"/>
      </w:pPr>
      <w:r>
        <w:t xml:space="preserve">Please confirm your acceptance of these terms by countersigning the enclosed copy. We look forward to working with you on Project Lyra.</w:t>
      </w:r>
    </w:p>
    <w:p>
      <w:pPr>
        <w:spacing w:after="240" w:line="276"/>
      </w:pPr>
      <w:r>
        <w:t xml:space="preserve">Yours sincerely</w:t>
      </w:r>
    </w:p>
    <w:p>
      <w:pPr>
        <w:spacing w:after="0" w:line="276"/>
      </w:pPr>
      <w:r>
        <w:rPr>
          <w:b/>
          <w:bCs/>
        </w:rPr>
        <w:t xml:space="preserve">Sarah Whitfield</w:t>
      </w:r>
    </w:p>
    <w:p>
      <w:pPr>
        <w:spacing w:after="0" w:line="276"/>
      </w:pPr>
      <w:r>
        <w:t xml:space="preserve">Partner, Corporate</w:t>
      </w:r>
    </w:p>
    <w:p>
      <w:pPr>
        <w:spacing w:after="240" w:line="276"/>
      </w:pPr>
      <w:r>
        <w:t xml:space="preserve">Whitfield Carter LLP</w:t>
      </w:r>
    </w:p>
    <w:p>
      <w:pPr>
        <w:spacing w:after="120" w:line="276"/>
      </w:pPr>
      <w:r>
        <w:rPr>
          <w:i/>
          <w:iCs/>
        </w:rPr>
        <w:t xml:space="preserve">Enc. Terms of business; rate schedule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color w:val="888888"/>
        <w:sz w:val="14"/>
        <w:szCs w:val="14"/>
      </w:rPr>
      <w:t xml:space="preserve">Whitfield Carter LLP is a limited liability partnership registered in England and Wales (OC384217).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2026-06-27T13:41:09.456Z</dcterms:created>
  <dcterms:modified xsi:type="dcterms:W3CDTF">2026-06-27T13:41:09.456Z</dcterms:modified>
</cp:coreProperties>
</file>

<file path=docProps/custom.xml><?xml version="1.0" encoding="utf-8"?>
<Properties xmlns="http://schemas.openxmlformats.org/officeDocument/2006/custom-properties" xmlns:vt="http://schemas.openxmlformats.org/officeDocument/2006/docPropsVTypes"/>
</file>