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276"/>
        <w:jc w:val="center"/>
      </w:pPr>
      <w:r>
        <w:rPr>
          <w:b/>
          <w:bCs/>
          <w:sz w:val="28"/>
          <w:szCs w:val="28"/>
        </w:rPr>
        <w:t xml:space="preserve">MUTUAL CONFIDENTIALITY AGREEMENT</w:t>
      </w:r>
    </w:p>
    <w:p>
      <w:pPr>
        <w:spacing w:after="200" w:line="276"/>
        <w:jc w:val="center"/>
      </w:pPr>
      <w:r>
        <w:rPr>
          <w:i/>
          <w:iCs/>
        </w:rPr>
        <w:t xml:space="preserve">Project Lyra</w:t>
      </w:r>
    </w:p>
    <w:p>
      <w:pPr>
        <w:spacing w:after="200" w:line="276"/>
      </w:pPr>
      <w:r>
        <w:t xml:space="preserve">DATED </w:t>
      </w:r>
      <w:r>
        <w:rPr>
          <w:b/>
          <w:bCs/>
        </w:rPr>
        <w:t xml:space="preserve">18 SEPTEMBER 2025</w:t>
      </w:r>
    </w:p>
    <w:p>
      <w:pPr>
        <w:spacing w:after="120" w:line="276"/>
      </w:pPr>
      <w:r>
        <w:rPr>
          <w:b/>
          <w:bCs/>
        </w:rPr>
        <w:t xml:space="preserve">PARTIES</w:t>
      </w:r>
    </w:p>
    <w:p>
      <w:pPr>
        <w:spacing w:after="120" w:line="276"/>
      </w:pPr>
      <w:r>
        <w:rPr>
          <w:b/>
          <w:bCs/>
        </w:rPr>
        <w:t xml:space="preserve">(1)  HARTWELL PHARMA LIMITED</w:t>
      </w:r>
      <w:r>
        <w:t xml:space="preserve">, a company incorporated in England and Wales (registered number 07731220) whose registered office is at Gunnersbury House, 1 Chapel Lane, Cambridge CB2 1RT (“Hartwell”); and</w:t>
      </w:r>
    </w:p>
    <w:p>
      <w:pPr>
        <w:spacing w:after="120" w:line="276"/>
      </w:pPr>
      <w:r>
        <w:rPr>
          <w:b/>
          <w:bCs/>
        </w:rPr>
        <w:t xml:space="preserve">(2)  CALDERBROOK ONCOLOGY LIMITED</w:t>
      </w:r>
      <w:r>
        <w:t xml:space="preserve">, a company incorporated in England and Wales (registered number 11204886) whose registered office is at Babraham Research Campus, Babraham, Cambridge CB22 3AT (“Calderbrook”),</w:t>
      </w:r>
    </w:p>
    <w:p>
      <w:pPr>
        <w:spacing w:after="120" w:line="276"/>
      </w:pPr>
      <w:r>
        <w:t xml:space="preserve">each a “Party” and together the “Parties”.</w:t>
      </w:r>
    </w:p>
    <w:p>
      <w:pPr>
        <w:spacing w:after="120" w:line="276"/>
      </w:pPr>
      <w:r>
        <w:rPr>
          <w:b/>
          <w:bCs/>
        </w:rPr>
        <w:t xml:space="preserve">BACKGROUND</w:t>
      </w:r>
    </w:p>
    <w:p>
      <w:pPr>
        <w:spacing w:after="120" w:line="276"/>
      </w:pPr>
      <w:r>
        <w:t xml:space="preserve">(A)  The Parties wish to explore a possible exclusive licence by Calderbrook to Hartwell of the HRX-218 compound family and related intellectual property for use in human oncology (the “Purpose”).</w:t>
      </w:r>
    </w:p>
    <w:p>
      <w:pPr>
        <w:spacing w:after="120" w:line="276"/>
      </w:pPr>
      <w:r>
        <w:t xml:space="preserve">(B)  In connection with the Purpose each Party may disclose Confidential Information to the other. This Agreement governs the use and protection of that information.</w:t>
      </w:r>
    </w:p>
    <w:p>
      <w:pPr>
        <w:spacing w:after="60" w:line="276"/>
      </w:pPr>
      <w:r>
        <w:rPr>
          <w:b/>
          <w:bCs/>
        </w:rPr>
        <w:t xml:space="preserve">AGREED TERMS</w:t>
      </w:r>
    </w:p>
    <w:p>
      <w:pPr>
        <w:spacing w:after="80" w:before="160"/>
      </w:pPr>
      <w:r>
        <w:rPr>
          <w:b/>
          <w:bCs/>
        </w:rPr>
        <w:t xml:space="preserve">1.   </w:t>
      </w:r>
      <w:r>
        <w:rPr>
          <w:b/>
          <w:bCs/>
        </w:rPr>
        <w:t xml:space="preserve">Definitions</w:t>
      </w:r>
    </w:p>
    <w:p>
      <w:pPr>
        <w:spacing w:after="100" w:line="276"/>
        <w:ind w:left="480"/>
      </w:pPr>
      <w:r>
        <w:t xml:space="preserve"/>
      </w:r>
      <w:r>
        <w:t xml:space="preserve">“Confidential Information” means all information (in any form) disclosed by or on behalf of one Party (the “Discloser”) to the other (the “Recipient”) in connection with the Purpose, including the existence and terms of the Parties’ discussions, the HRX-218 compound structures, preclinical and clinical data, patent filings, manufacturing know-how, and commercial and financial information, whether or not marked confidential.</w:t>
      </w:r>
    </w:p>
    <w:p>
      <w:pPr>
        <w:spacing w:after="100" w:line="276"/>
        <w:ind w:left="480"/>
      </w:pPr>
      <w:r>
        <w:t xml:space="preserve"/>
      </w:r>
      <w:r>
        <w:t xml:space="preserve">“Permitted Recipients” means a Party’s officers, employees, professional advisers and (in Hartwell’s case) its patent attorneys, in each case who need to know the Confidential Information for the Purpose and are bound by obligations of confidence.</w:t>
      </w:r>
    </w:p>
    <w:p>
      <w:pPr>
        <w:spacing w:after="80" w:before="160"/>
      </w:pPr>
      <w:r>
        <w:rPr>
          <w:b/>
          <w:bCs/>
        </w:rPr>
        <w:t xml:space="preserve">2.   </w:t>
      </w:r>
      <w:r>
        <w:rPr>
          <w:b/>
          <w:bCs/>
        </w:rPr>
        <w:t xml:space="preserve">Confidentiality undertakings</w:t>
      </w:r>
    </w:p>
    <w:p>
      <w:pPr>
        <w:spacing w:after="100" w:line="276"/>
        <w:ind w:left="480"/>
      </w:pPr>
      <w:r>
        <w:t xml:space="preserve">2.1   </w:t>
      </w:r>
      <w:r>
        <w:t xml:space="preserve">The Recipient shall keep the Discloser’s Confidential Information secret and confidential and shall not use or disclose it otherwise than for the Purpose.</w:t>
      </w:r>
    </w:p>
    <w:p>
      <w:pPr>
        <w:spacing w:after="100" w:line="276"/>
        <w:ind w:left="480"/>
      </w:pPr>
      <w:r>
        <w:t xml:space="preserve">2.2   </w:t>
      </w:r>
      <w:r>
        <w:t xml:space="preserve">The Recipient may disclose Confidential Information to its Permitted Recipients and as required by law, regulation or any court or competent authority, provided that (where lawful) it gives the Discloser prior notice.</w:t>
      </w:r>
    </w:p>
    <w:p>
      <w:pPr>
        <w:spacing w:after="100" w:line="276"/>
        <w:ind w:left="480"/>
      </w:pPr>
      <w:r>
        <w:t xml:space="preserve">2.3   </w:t>
      </w:r>
      <w:r>
        <w:t xml:space="preserve">The obligations in this clause 2 do not apply to information which is or becomes public through no breach of this Agreement, was lawfully in the Recipient’s possession before disclosure, or is independently developed without use of the Confidential Information.</w:t>
      </w:r>
    </w:p>
    <w:p>
      <w:pPr>
        <w:spacing w:after="80" w:before="160"/>
      </w:pPr>
      <w:r>
        <w:rPr>
          <w:b/>
          <w:bCs/>
        </w:rPr>
        <w:t xml:space="preserve">3.   </w:t>
      </w:r>
      <w:r>
        <w:rPr>
          <w:b/>
          <w:bCs/>
        </w:rPr>
        <w:t xml:space="preserve">Return or destruction</w:t>
      </w:r>
    </w:p>
    <w:p>
      <w:pPr>
        <w:spacing w:after="100" w:line="276"/>
        <w:ind w:left="480"/>
      </w:pPr>
      <w:r>
        <w:t xml:space="preserve"/>
      </w:r>
      <w:r>
        <w:t xml:space="preserve">On the Discloser’s written request, the Recipient shall return or destroy (and certify the destruction of) the Discloser’s Confidential Information, save for one copy retained for legal-compliance purposes and any copy held on routine electronic back-up.</w:t>
      </w:r>
    </w:p>
    <w:p>
      <w:pPr>
        <w:spacing w:after="80" w:before="160"/>
      </w:pPr>
      <w:r>
        <w:rPr>
          <w:b/>
          <w:bCs/>
        </w:rPr>
        <w:t xml:space="preserve">4.   </w:t>
      </w:r>
      <w:r>
        <w:rPr>
          <w:b/>
          <w:bCs/>
        </w:rPr>
        <w:t xml:space="preserve">No licence; no representation</w:t>
      </w:r>
    </w:p>
    <w:p>
      <w:pPr>
        <w:spacing w:after="100" w:line="276"/>
        <w:ind w:left="480"/>
      </w:pPr>
      <w:r>
        <w:t xml:space="preserve"/>
      </w:r>
      <w:r>
        <w:t xml:space="preserve">Nothing in this Agreement grants any licence under any intellectual property rights, save the limited right to use Confidential Information for the Purpose. No Party makes any representation or warranty as to the accuracy or completeness of its Confidential Information.</w:t>
      </w:r>
    </w:p>
    <w:p>
      <w:pPr>
        <w:spacing w:after="80" w:before="160"/>
      </w:pPr>
      <w:r>
        <w:rPr>
          <w:b/>
          <w:bCs/>
        </w:rPr>
        <w:t xml:space="preserve">5.   </w:t>
      </w:r>
      <w:r>
        <w:rPr>
          <w:b/>
          <w:bCs/>
        </w:rPr>
        <w:t xml:space="preserve">Term</w:t>
      </w:r>
    </w:p>
    <w:p>
      <w:pPr>
        <w:spacing w:after="100" w:line="276"/>
        <w:ind w:left="480"/>
      </w:pPr>
      <w:r>
        <w:t xml:space="preserve"/>
      </w:r>
      <w:r>
        <w:t xml:space="preserve">This Agreement applies to disclosures made for 18 months from its date, and the confidentiality obligations in clause 2 continue for 5 years from the date of disclosure of the relevant Confidential Information.</w:t>
      </w:r>
    </w:p>
    <w:p>
      <w:pPr>
        <w:spacing w:after="80" w:before="160"/>
      </w:pPr>
      <w:r>
        <w:rPr>
          <w:b/>
          <w:bCs/>
        </w:rPr>
        <w:t xml:space="preserve">6.   </w:t>
      </w:r>
      <w:r>
        <w:rPr>
          <w:b/>
          <w:bCs/>
        </w:rPr>
        <w:t xml:space="preserve">Non-solicitation</w:t>
      </w:r>
    </w:p>
    <w:p>
      <w:pPr>
        <w:spacing w:after="100" w:line="276"/>
        <w:ind w:left="480"/>
      </w:pPr>
      <w:r>
        <w:t xml:space="preserve"/>
      </w:r>
      <w:r>
        <w:t xml:space="preserve">During the term and for 12 months afterwards, neither Party shall solicit for employment any senior employee of the other with whom it has had contact in connection with the Purpose, save that general advertising not specifically targeted at such employees is permitted.</w:t>
      </w:r>
    </w:p>
    <w:p>
      <w:pPr>
        <w:spacing w:after="80" w:before="160"/>
      </w:pPr>
      <w:r>
        <w:rPr>
          <w:b/>
          <w:bCs/>
        </w:rPr>
        <w:t xml:space="preserve">7.   </w:t>
      </w:r>
      <w:r>
        <w:rPr>
          <w:b/>
          <w:bCs/>
        </w:rPr>
        <w:t xml:space="preserve">Remedies</w:t>
      </w:r>
    </w:p>
    <w:p>
      <w:pPr>
        <w:spacing w:after="100" w:line="276"/>
        <w:ind w:left="480"/>
      </w:pPr>
      <w:r>
        <w:t xml:space="preserve"/>
      </w:r>
      <w:r>
        <w:t xml:space="preserve">Each Party acknowledges that damages alone may not be an adequate remedy for breach and that the Discloser shall be entitled to seek the remedies of injunction and specific performance.</w:t>
      </w:r>
    </w:p>
    <w:p>
      <w:pPr>
        <w:spacing w:after="80" w:before="160"/>
      </w:pPr>
      <w:r>
        <w:rPr>
          <w:b/>
          <w:bCs/>
        </w:rPr>
        <w:t xml:space="preserve">8.   </w:t>
      </w:r>
      <w:r>
        <w:rPr>
          <w:b/>
          <w:bCs/>
        </w:rPr>
        <w:t xml:space="preserve">Governing law and jurisdiction</w:t>
      </w:r>
    </w:p>
    <w:p>
      <w:pPr>
        <w:spacing w:after="100" w:line="276"/>
        <w:ind w:left="480"/>
      </w:pPr>
      <w:r>
        <w:t xml:space="preserve"/>
      </w:r>
      <w:r>
        <w:t xml:space="preserve">This Agreement and any non-contractual obligations arising out of it are governed by the law of England and Wales, and the Parties submit to the exclusive jurisdiction of the courts of England and Wales.</w:t>
      </w:r>
    </w:p>
    <w:p>
      <w:pPr>
        <w:spacing w:after="200" w:line="276"/>
      </w:pPr>
      <w:r>
        <w:t xml:space="preserve"/>
      </w:r>
    </w:p>
    <w:p>
      <w:pPr>
        <w:spacing w:after="240" w:line="276"/>
      </w:pPr>
      <w:r>
        <w:rPr>
          <w:i/>
          <w:iCs/>
        </w:rPr>
        <w:t xml:space="preserve">This Agreement has been entered into on the date stated at the beginning of it.</w:t>
      </w:r>
    </w:p>
    <w:p>
      <w:pPr>
        <w:spacing w:after="200" w:line="276"/>
      </w:pPr>
      <w:r>
        <w:rPr>
          <w:b/>
          <w:bCs/>
        </w:rPr>
        <w:t xml:space="preserve">Signed for and on behalf of HARTWELL PHARMA LIMITED</w:t>
      </w:r>
    </w:p>
    <w:p>
      <w:pPr>
        <w:spacing w:after="80" w:line="276"/>
      </w:pPr>
      <w:r>
        <w:t xml:space="preserve">Signature: ............................................................</w:t>
      </w:r>
    </w:p>
    <w:p>
      <w:pPr>
        <w:spacing w:after="80" w:line="276"/>
      </w:pPr>
      <w:r>
        <w:t xml:space="preserve">Name: ...................................................................</w:t>
      </w:r>
    </w:p>
    <w:p>
      <w:pPr>
        <w:spacing w:after="80" w:line="276"/>
      </w:pPr>
      <w:r>
        <w:t xml:space="preserve">Title: ....................................................................</w:t>
      </w:r>
    </w:p>
    <w:p>
      <w:pPr>
        <w:spacing w:after="240" w:line="276"/>
      </w:pPr>
      <w:r>
        <w:t xml:space="preserve">Date: ....................................................................</w:t>
      </w:r>
    </w:p>
    <w:p>
      <w:pPr>
        <w:spacing w:after="200" w:line="276"/>
      </w:pPr>
      <w:r>
        <w:rPr>
          <w:b/>
          <w:bCs/>
        </w:rPr>
        <w:t xml:space="preserve">Signed for and on behalf of CALDERBROOK ONCOLOGY LIMITED</w:t>
      </w:r>
    </w:p>
    <w:p>
      <w:pPr>
        <w:spacing w:after="80" w:line="276"/>
      </w:pPr>
      <w:r>
        <w:t xml:space="preserve">Signature: ............................................................</w:t>
      </w:r>
    </w:p>
    <w:p>
      <w:pPr>
        <w:spacing w:after="80" w:line="276"/>
      </w:pPr>
      <w:r>
        <w:t xml:space="preserve">Name: ...................................................................</w:t>
      </w:r>
    </w:p>
    <w:p>
      <w:pPr>
        <w:spacing w:after="80" w:line="276"/>
      </w:pPr>
      <w:r>
        <w:t xml:space="preserve">Title: ....................................................................</w:t>
      </w:r>
    </w:p>
    <w:p>
      <w:pPr>
        <w:spacing w:after="240" w:line="276"/>
      </w:pPr>
      <w:r>
        <w:t xml:space="preserve">Date: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spacing w:before="60"/>
    </w:pPr>
    <w:r>
      <w:rPr>
        <w:color w:val="888888"/>
        <w:sz w:val="14"/>
        <w:szCs w:val="14"/>
      </w:rPr>
      <w:t xml:space="preserve">Whitfield Carter LLP is a limited liability partnership registered in England and Wales (OC384217). Confidential and may be legally privileged.</w:t>
    </w:r>
  </w:p>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2026-06-27T13:41:09.520Z</dcterms:created>
  <dcterms:modified xsi:type="dcterms:W3CDTF">2026-06-27T13:41:09.520Z</dcterms:modified>
</cp:coreProperties>
</file>

<file path=docProps/custom.xml><?xml version="1.0" encoding="utf-8"?>
<Properties xmlns="http://schemas.openxmlformats.org/officeDocument/2006/custom-properties" xmlns:vt="http://schemas.openxmlformats.org/officeDocument/2006/docPropsVTypes"/>
</file>