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b/>
          <w:bCs/>
          <w:sz w:val="28"/>
          <w:szCs w:val="28"/>
        </w:rPr>
        <w:t xml:space="preserve">NON-BINDING TERM SHEET</w:t>
      </w:r>
    </w:p>
    <w:p>
      <w:pPr>
        <w:spacing w:after="40" w:line="276"/>
        <w:jc w:val="center"/>
      </w:pPr>
      <w:r>
        <w:rPr>
          <w:i/>
          <w:iCs/>
        </w:rPr>
        <w:t xml:space="preserve">Project Lyra — Exclusive Licence of the HRX-218 Compound Family</w:t>
      </w:r>
    </w:p>
    <w:p>
      <w:pPr>
        <w:spacing w:after="60" w:line="276"/>
        <w:jc w:val="center"/>
      </w:pPr>
      <w:r>
        <w:rPr>
          <w:sz w:val="18"/>
          <w:szCs w:val="18"/>
        </w:rPr>
        <w:t xml:space="preserve">Calderbrook Oncology Limited (Licensor) and Hartwell Pharma Limited (Licensee)</w:t>
      </w:r>
    </w:p>
    <w:p>
      <w:pPr>
        <w:spacing w:after="200" w:line="276"/>
        <w:jc w:val="center"/>
      </w:pPr>
      <w:r>
        <w:rPr>
          <w:sz w:val="18"/>
          <w:szCs w:val="18"/>
        </w:rPr>
        <w:t xml:space="preserve">3 October 2025  |  Draft for discussion</w:t>
      </w:r>
    </w:p>
    <w:p>
      <w:pPr>
        <w:spacing w:after="120" w:line="276"/>
      </w:pPr>
      <w:r>
        <w:rPr>
          <w:i/>
          <w:iCs/>
        </w:rPr>
        <w:t xml:space="preserve">This term sheet records the principal terms on which the parties are willing to negotiate the proposed licence. Save for the sections headed Exclusivity, Confidentiality, Costs and Governing Law, it is not legally binding and is subject to contract and to board approvals.</w:t>
      </w:r>
    </w:p>
    <w:p>
      <w:pPr>
        <w:pStyle w:val="Heading2"/>
      </w:pPr>
      <w:r>
        <w:t xml:space="preserve">Principal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Item</w:t>
            </w:r>
          </w:p>
        </w:tc>
        <w:tc>
          <w:tcPr>
            <w:tcW w:type="dxa" w:w="67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Proposed term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Licensed IP</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HRX-218 compound family (lead compound HRX-218 and back-ups HRX-231 and HRX-244), the Licensed Patents listed in the Patent Schedule, and related Know-How.</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Field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Treatment, prevention and diagnosis of cancer in humans (the “Field”).</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Territory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Worldwide.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Exclusivity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Exclusive (even as to Licensor), with the right to grant sub-licences subject to clause-level controls.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Upfront fee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£6,000,000 payable within 10 business days of signing.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Development milestones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Up to £44,000,000 in aggregate: Phase II initiation £3,000,000; Phase III initiation £8,000,000; first EMA marketing authorisation £15,000,000; first FDA approval £18,000,000.</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Sales milestones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Up to £105,000,000 in aggregate on first achievement of £100m / £250m / £500m annual Net Sales (£20m / £35m / £50m respectively).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Royalties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Tiered on annual Net Sales: 8% to £100m; 11% on the slice £100m–250m; 14% above £250m. Royalty term: country-by-country to the later of last-to-expire Licensed Patent or 10 years from first commercial sale.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Diligence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Hartwell to use Commercially Reasonable Efforts to develop and commercialise at least one Licensed Product, with a development plan and annual reporting.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Liability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To be negotiated. Licensor proposes a cap; Licensee’s opening position is that liability is uncapped for the core grant and IP warranties.</w:t>
            </w:r>
          </w:p>
        </w:tc>
      </w:tr>
    </w:tbl>
    <w:p>
      <w:pPr>
        <w:pStyle w:val="Heading2"/>
      </w:pPr>
      <w:r>
        <w:t xml:space="preserve">Process and conditions</w:t>
      </w:r>
    </w:p>
    <w:p>
      <w:pPr>
        <w:pStyle w:val="ListParagraph"/>
        <w:numPr>
          <w:ilvl w:val="0"/>
          <w:numId w:val="2"/>
        </w:numPr>
        <w:spacing w:after="80" w:line="276"/>
      </w:pPr>
      <w:r>
        <w:t xml:space="preserve">Confirmatory legal, patent and chain-of-title due diligence to Hartwell’s satisfaction.</w:t>
      </w:r>
    </w:p>
    <w:p>
      <w:pPr>
        <w:pStyle w:val="ListParagraph"/>
        <w:numPr>
          <w:ilvl w:val="0"/>
          <w:numId w:val="2"/>
        </w:numPr>
        <w:spacing w:after="80" w:line="276"/>
      </w:pPr>
      <w:r>
        <w:t xml:space="preserve">Negotiation of a definitive Patent and Know-How Licence Agreement.</w:t>
      </w:r>
    </w:p>
    <w:p>
      <w:pPr>
        <w:pStyle w:val="ListParagraph"/>
        <w:numPr>
          <w:ilvl w:val="0"/>
          <w:numId w:val="2"/>
        </w:numPr>
        <w:spacing w:after="80" w:line="276"/>
      </w:pPr>
      <w:r>
        <w:t xml:space="preserve">Board approval of each party and (for Calderbrook) any investor consents required under its articles.</w:t>
      </w:r>
    </w:p>
    <w:p>
      <w:pPr>
        <w:pStyle w:val="ListParagraph"/>
        <w:numPr>
          <w:ilvl w:val="0"/>
          <w:numId w:val="2"/>
        </w:numPr>
        <w:spacing w:after="80" w:line="276"/>
      </w:pPr>
      <w:r>
        <w:t xml:space="preserve">Target signing: late January 2026.</w:t>
      </w:r>
    </w:p>
    <w:p>
      <w:pPr>
        <w:pStyle w:val="Heading2"/>
      </w:pPr>
      <w:r>
        <w:t xml:space="preserve">Binding provisions</w:t>
      </w:r>
    </w:p>
    <w:p>
      <w:pPr>
        <w:spacing w:after="120" w:line="276"/>
      </w:pPr>
      <w:r>
        <w:t xml:space="preserve">The Exclusivity (90-day exclusive negotiation period from the date of this term sheet), Confidentiality (per the Mutual Confidentiality Agreement dated 18 September 2025), Costs (each party bears its own) and Governing Law (England and Wales) sections are binding.</w:t>
      </w:r>
    </w:p>
    <w:p>
      <w:pPr>
        <w:spacing w:after="240" w:line="276"/>
      </w:pPr>
      <w:r>
        <w:t xml:space="preserve"/>
      </w:r>
    </w:p>
    <w:p>
      <w:pPr>
        <w:spacing w:after="160" w:line="276"/>
      </w:pPr>
      <w:r>
        <w:rPr>
          <w:b/>
          <w:bCs/>
        </w:rPr>
        <w:t xml:space="preserve">Agreed in principle:</w:t>
      </w:r>
    </w:p>
    <w:p>
      <w:pPr>
        <w:spacing w:after="120" w:line="276"/>
      </w:pPr>
      <w:r>
        <w:t xml:space="preserve">For Hartwell Pharma Limited: ...........................   For Calderbrook Oncology Limited: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2026-06-27T13:41:09.541Z</dcterms:created>
  <dcterms:modified xsi:type="dcterms:W3CDTF">2026-06-27T13:41:09.541Z</dcterms:modified>
</cp:coreProperties>
</file>

<file path=docProps/custom.xml><?xml version="1.0" encoding="utf-8"?>
<Properties xmlns="http://schemas.openxmlformats.org/officeDocument/2006/custom-properties" xmlns:vt="http://schemas.openxmlformats.org/officeDocument/2006/docPropsVTypes"/>
</file>