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sz w:val="26"/>
          <w:szCs w:val="26"/>
        </w:rPr>
        <w:t xml:space="preserve">HARTWELL PHARMA LIMITED</w:t>
      </w:r>
    </w:p>
    <w:p>
      <w:pPr>
        <w:jc w:val="center"/>
      </w:pPr>
      <w:r>
        <w:rPr>
          <w:sz w:val="18"/>
          <w:szCs w:val="18"/>
        </w:rPr>
        <w:t xml:space="preserve">(Company number 06723145)</w:t>
      </w:r>
    </w:p>
    <w:p>
      <w:pPr>
        <w:spacing w:after="200"/>
        <w:jc w:val="center"/>
      </w:pPr>
      <w:r>
        <w:rPr>
          <w:b/>
          <w:bCs/>
          <w:sz w:val="22"/>
          <w:szCs w:val="22"/>
        </w:rPr>
        <w:t xml:space="preserve">MINUTES of a meeting of the board of directors</w:t>
      </w:r>
    </w:p>
    <w:p>
      <w:pPr>
        <w:spacing w:after="120"/>
        <w:jc w:val="both"/>
      </w:pPr>
      <w:r>
        <w:t xml:space="preserve">Held at: Hartwell House, Granta Park, Cambridge CB21 6GP (and by video-conference)</w:t>
      </w:r>
    </w:p>
    <w:p>
      <w:pPr>
        <w:spacing w:after="120"/>
        <w:jc w:val="both"/>
      </w:pPr>
      <w:r>
        <w:t xml:space="preserve">Date: 5 February 2026  |  Time: 10:00</w:t>
      </w:r>
    </w:p>
    <w:p>
      <w:pPr>
        <w:spacing w:before="120"/>
      </w:pPr>
      <w:r>
        <w:rPr>
          <w:b/>
          <w:bCs/>
        </w:rPr>
        <w:t xml:space="preserve">Present:</w:t>
      </w:r>
    </w:p>
    <w:p>
      <w:pPr>
        <w:spacing w:after="120"/>
        <w:jc w:val="both"/>
      </w:pPr>
      <w:r>
        <w:t xml:space="preserve">Dr Helena Vance (Chair, Chief Executive Officer); Gregory Mercer (Chief Financial Officer); Dr Stephen Okoro (Chief Scientific Officer); Naomi Adeyemi (General Counsel &amp; Company Secretary, secretary to the meeting).</w:t>
      </w:r>
    </w:p>
    <w:p>
      <w:pPr>
        <w:spacing w:after="80" w:before="120"/>
      </w:pPr>
      <w:r>
        <w:rPr>
          <w:b/>
          <w:bCs/>
        </w:rPr>
        <w:t xml:space="preserve">1.  QUORUM AND NOTICE</w:t>
      </w:r>
    </w:p>
    <w:p>
      <w:pPr>
        <w:spacing w:after="120"/>
        <w:jc w:val="both"/>
      </w:pPr>
      <w:r>
        <w:t xml:space="preserve">The Chair noted that due notice of the meeting had been given and that a quorum was present. The meeting was declared open.</w:t>
      </w:r>
    </w:p>
    <w:p>
      <w:pPr>
        <w:spacing w:after="80" w:before="100"/>
      </w:pPr>
      <w:r>
        <w:rPr>
          <w:b/>
          <w:bCs/>
        </w:rPr>
        <w:t xml:space="preserve">2.  DECLARATIONS OF INTEREST</w:t>
      </w:r>
    </w:p>
    <w:p>
      <w:pPr>
        <w:spacing w:after="120"/>
        <w:jc w:val="both"/>
      </w:pPr>
      <w:r>
        <w:t xml:space="preserve">The directors confirmed that none of them had any interest required to be declared under section 177 of the Companies Act 2006 in the matters to be considered.</w:t>
      </w:r>
    </w:p>
    <w:p>
      <w:pPr>
        <w:spacing w:after="80" w:before="100"/>
      </w:pPr>
      <w:r>
        <w:rPr>
          <w:b/>
          <w:bCs/>
        </w:rPr>
        <w:t xml:space="preserve">3.  PROJECT MERIDIAN — SENTVIA VIGIL™ PROCUREMENT</w:t>
      </w:r>
    </w:p>
    <w:p>
      <w:pPr>
        <w:spacing w:after="120"/>
        <w:jc w:val="both"/>
      </w:pPr>
      <w:r>
        <w:t xml:space="preserve">The CFO presented the proposed Master SaaS Subscription Agreement with Sentvia Health Systems Limited for the Sentvia Vigil™ pharmacovigilance platform, summarising the commercial terms (annual subscription of £486,000, fixed implementation fee of £145,000, an initial term of 36 months and a contract value over the initial term of approximately £1.6 million), and the principal points negotiated by Whitfield Carter LLP, including the enhanced liability cap, the 24-hour data-breach notification, the data-export rights on termination and the regulatory co-operation provisions. The General Counsel confirmed that the agreement, the data processing agreement and the security schedule had been reviewed and were considered acceptable and consistent with the Company's regulatory obligations.</w:t>
      </w:r>
    </w:p>
    <w:p>
      <w:pPr>
        <w:spacing w:after="80" w:before="100"/>
      </w:pPr>
      <w:r>
        <w:rPr>
          <w:b/>
          <w:bCs/>
        </w:rPr>
        <w:t xml:space="preserve">4.  RESOLUTIONS</w:t>
      </w:r>
    </w:p>
    <w:p>
      <w:pPr>
        <w:spacing w:after="120"/>
        <w:jc w:val="both"/>
      </w:pPr>
      <w:r>
        <w:t xml:space="preserve">IT WAS RESOLVED that: (a) the terms of the Master SaaS Subscription Agreement and its schedules (including the Statement of Work, Service Level Agreement and Data Processing Agreement) be and are hereby approved; (b) the entry into the agreement is in the best interests of the Company and likely to promote its success for the benefit of its members as a whole; and (c) any one director, or the General Counsel, be and is hereby authorised to execute the agreement and any ancillary documents on behalf of the Company and to take all such further steps as may be necessary or desirable to give effect to the Transaction.</w:t>
      </w:r>
    </w:p>
    <w:p>
      <w:pPr>
        <w:spacing w:after="80" w:before="100"/>
      </w:pPr>
      <w:r>
        <w:rPr>
          <w:b/>
          <w:bCs/>
        </w:rPr>
        <w:t xml:space="preserve">5.  CLOSE</w:t>
      </w:r>
    </w:p>
    <w:p>
      <w:pPr>
        <w:spacing w:after="120"/>
        <w:jc w:val="both"/>
      </w:pPr>
      <w:r>
        <w:t xml:space="preserve">There being no further business, the Chair declared the meeting closed.</w:t>
      </w:r>
    </w:p>
    <w:p>
      <w:pPr>
        <w:spacing w:before="240"/>
      </w:pPr>
      <w:r>
        <w:t xml:space="preserve">........................................................</w:t>
      </w:r>
    </w:p>
    <w:p>
      <w:pPr>
        <w:spacing w:after="120"/>
        <w:jc w:val="both"/>
      </w:pPr>
      <w:r>
        <w:t xml:space="preserve">Dr Helena Vance — Chair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2"/>
      </w:pBdr>
      <w:tabs>
        <w:tab w:val="right" w:pos="9026"/>
      </w:tabs>
    </w:pPr>
    <w:r>
      <w:rPr>
        <w:color w:val="666666"/>
        <w:sz w:val="16"/>
        <w:szCs w:val="16"/>
      </w:rPr>
      <w:t xml:space="preserve">WC-00122</w:t>
    </w:r>
    <w:r>
      <w:rPr>
        <w:sz w:val="16"/>
        <w:szCs w:val="16"/>
      </w:rPr>
      <w:t xml:space="preserve">	</w:t>
    </w: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right"/>
    </w:pPr>
    <w:r>
      <w:rPr>
        <w:color w:val="666666"/>
        <w:sz w:val="16"/>
        <w:szCs w:val="16"/>
      </w:rPr>
      <w:t xml:space="preserve">Hartwell Pharma Limited — Board Minutes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5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Arial" w:cs="Arial" w:eastAsia="Arial" w:hAnsi="Arial"/>
      <w:b/>
      <w:bCs/>
      <w:sz w:val="24"/>
      <w:szCs w:val="24"/>
    </w:rPr>
  </w:style>
  <w:style w:type="paragraph" w:styleId="Heading2">
    <w:name w:val="Heading 2"/>
    <w:basedOn w:val="Normal"/>
    <w:next w:val="Normal"/>
    <w:qFormat/>
    <w:pPr>
      <w:keepNext/>
      <w:spacing w:after="12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2026-06-25T16:10:45.762Z</dcterms:created>
  <dcterms:modified xsi:type="dcterms:W3CDTF">2026-06-25T16:10:45.762Z</dcterms:modified>
</cp:coreProperties>
</file>

<file path=docProps/custom.xml><?xml version="1.0" encoding="utf-8"?>
<Properties xmlns="http://schemas.openxmlformats.org/officeDocument/2006/custom-properties" xmlns:vt="http://schemas.openxmlformats.org/officeDocument/2006/docPropsVTypes"/>
</file>