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4"/>
          <w:szCs w:val="24"/>
        </w:rPr>
        <w:t xml:space="preserve">SCHEDULE 5 — DATA PROCESSING AGREEMENT</w:t>
      </w:r>
    </w:p>
    <w:p>
      <w:pPr>
        <w:spacing w:after="200"/>
        <w:jc w:val="center"/>
      </w:pPr>
      <w:r>
        <w:rPr>
          <w:i/>
          <w:iCs/>
          <w:sz w:val="20"/>
          <w:szCs w:val="20"/>
        </w:rPr>
        <w:t xml:space="preserve">to the Master SaaS Subscription Agreement between
Sentvia Health Systems Limited (Processor) and Hartwell Pharma Limited (Controller)</w:t>
      </w:r>
    </w:p>
    <w:p>
      <w:pPr>
        <w:pStyle w:val="Heading1"/>
      </w:pPr>
      <w:r>
        <w:t xml:space="preserve">1.  DEFINITIONS</w:t>
      </w:r>
    </w:p>
    <w:p>
      <w:pPr>
        <w:spacing w:after="120"/>
        <w:jc w:val="both"/>
      </w:pPr>
      <w:r>
        <w:t xml:space="preserve">Terms used in this Data Processing Agreement (DPA) that are defined in the Data Protection Legislation (including “controller”, “processor”, “data subject”, “Personal Data”, “processing” and “supervisory authority”) shall have the meanings given to them in that legislation. Other capitalised terms have the meanings given in the Agreement.</w:t>
      </w:r>
    </w:p>
    <w:p>
      <w:pPr>
        <w:pStyle w:val="Heading1"/>
      </w:pPr>
      <w:r>
        <w:t xml:space="preserve">2.  PROCESSING OF CUSTOMER PERSONAL DATA</w:t>
      </w:r>
    </w:p>
    <w:p>
      <w:pPr>
        <w:spacing w:after="120"/>
        <w:jc w:val="both"/>
      </w:pPr>
      <w:r>
        <w:t xml:space="preserve">The Processor shall process the Customer Personal Data only on the documented instructions of the Controller, including with regard to transfers of Personal Data, unless required to do otherwise by applicable law. The Processor shall promptly inform the Controller if, in its opinion, an instruction infringes the Data Protection Legislation.</w:t>
      </w:r>
    </w:p>
    <w:p>
      <w:pPr>
        <w:spacing w:after="120"/>
        <w:jc w:val="both"/>
      </w:pPr>
      <w:r>
        <w:t xml:space="preserve">The subject-matter, duration, nature and purpose of the processing, the types of Personal Data and the categories of data subject are set out in Annex 1 to this DPA.</w:t>
      </w:r>
    </w:p>
    <w:p>
      <w:pPr>
        <w:pStyle w:val="Heading1"/>
      </w:pPr>
      <w:r>
        <w:t xml:space="preserve">3.  PROCESSOR OBLIGATIONS</w:t>
      </w:r>
    </w:p>
    <w:p>
      <w:pPr>
        <w:spacing w:after="120"/>
        <w:jc w:val="both"/>
      </w:pPr>
      <w:r>
        <w:t xml:space="preserve">The Processor shall: (a) ensure that persons authorised to process the Personal Data are subject to obligations of confidentiality; (b) implement the technical and organisational measures set out in the Security Schedule; (c) not engage another processor (sub-processor) without the Controller's prior specific or general written authorisation; (d) taking into account the nature of the processing, assist the Controller by appropriate measures in responding to requests by data subjects exercising their rights; (e) assist the Controller in ensuring compliance with its obligations relating to security, breach notification and data-protection impact assessments; and (f) at the choice of the Controller, delete or return all Personal Data after the end of the provision of services.</w:t>
      </w:r>
    </w:p>
    <w:p>
      <w:pPr>
        <w:pStyle w:val="Heading1"/>
      </w:pPr>
      <w:r>
        <w:t xml:space="preserve">4.  SUB-PROCESSORS</w:t>
      </w:r>
    </w:p>
    <w:p>
      <w:pPr>
        <w:spacing w:after="120"/>
        <w:jc w:val="both"/>
      </w:pPr>
      <w:r>
        <w:t xml:space="preserve">The Controller grants a general authorisation to the Processor to engage the sub-processors listed in Annex 2. The Processor shall inform the Controller of any intended changes concerning the addition or replacement of sub-processors not less than 30 days in advance, thereby giving the Controller the opportunity to object. The Processor shall impose on each sub-processor the same data-protection obligations as set out in this DPA.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Sub-processor</w:t>
            </w:r>
          </w:p>
        </w:tc>
        <w:tc>
          <w:tcPr>
            <w:tcW w:type="dxa" w:w="3013"/>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Purpose</w:t>
            </w:r>
          </w:p>
        </w:tc>
        <w:tc>
          <w:tcPr>
            <w:tcW w:type="dxa" w:w="3013"/>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Location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Amazon Web Services EMEA SARL</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Cloud hosting &amp; storage</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London (eu-west-2), Dublin (DR)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Twilio Ireland Limited</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Transactional notifications</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Republic of Ireland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Sentvia Support Services Ltd</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Tier-2 technical support</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United Kingdom</w:t>
            </w:r>
          </w:p>
        </w:tc>
      </w:tr>
    </w:tbl>
    <w:p>
      <w:pPr>
        <w:pStyle w:val="Heading1"/>
      </w:pPr>
      <w:r>
        <w:t xml:space="preserve">5.  SECURITY</w:t>
      </w:r>
    </w:p>
    <w:p>
      <w:pPr>
        <w:spacing w:after="120"/>
        <w:jc w:val="both"/>
      </w:pPr>
      <w:r>
        <w:t xml:space="preserve">Taking into account the state of the art, the costs of implementation and the nature, scope, context and purposes of processing, as well as the risk to the rights and freedoms of natural persons, the Processor shall implement appropriate technical and organisational measures to ensure a level of security appropriate to the risk, including those set out in Schedule 7 (Security Schedule).</w:t>
      </w:r>
    </w:p>
    <w:p>
      <w:pPr>
        <w:pStyle w:val="Heading1"/>
      </w:pPr>
      <w:r>
        <w:t xml:space="preserve">6.  PERSONAL DATA BREACH</w:t>
      </w:r>
    </w:p>
    <w:p>
      <w:pPr>
        <w:spacing w:after="120"/>
        <w:jc w:val="both"/>
      </w:pPr>
      <w:r>
        <w:t xml:space="preserve">The Processor shall notify the Controller without undue delay, and in any event within 24 hours, after becoming aware of a Personal Data Breach affecting the Customer Personal Data, and shall provide the Controller with sufficient information to allow it to meet any obligations to report the breach under the Data Protection Legislation.</w:t>
      </w:r>
    </w:p>
    <w:p>
      <w:pPr>
        <w:pStyle w:val="Heading1"/>
      </w:pPr>
      <w:r>
        <w:t xml:space="preserve">7.  INTERNATIONAL TRANSFERS</w:t>
      </w:r>
    </w:p>
    <w:p>
      <w:pPr>
        <w:spacing w:after="120"/>
        <w:jc w:val="both"/>
      </w:pPr>
      <w:r>
        <w:t xml:space="preserve">The Processor shall not transfer Customer Personal Data to a country outside the United Kingdom or the EEA without the Controller's prior written authorisation and without ensuring that appropriate safeguards (including the International Data Transfer Agreement or the UK Addendum to the EU Standard Contractual Clauses) are in place.</w:t>
      </w:r>
    </w:p>
    <w:p>
      <w:pPr>
        <w:pStyle w:val="Heading1"/>
      </w:pPr>
      <w:r>
        <w:t xml:space="preserve">8.  AUDIT</w:t>
      </w:r>
    </w:p>
    <w:p>
      <w:pPr>
        <w:spacing w:after="120"/>
        <w:jc w:val="both"/>
      </w:pPr>
      <w:r>
        <w:t xml:space="preserve">The Processor shall make available to the Controller all information necessary to demonstrate compliance with the obligations laid down in this DPA and shall allow for and contribute to audits, including inspections, conducted by the Controller or another auditor mandated by the Controller, in accordance with clause 12 of the Agreement.</w:t>
      </w:r>
    </w:p>
    <w:p>
      <w:pPr>
        <w:spacing w:before="200"/>
      </w:pPr>
      <w:r>
        <w:rPr>
          <w:b/>
          <w:bCs/>
        </w:rPr>
        <w:t xml:space="preserve">ANNEX 1 — Description of processing</w:t>
      </w:r>
    </w:p>
    <w:p>
      <w:pPr>
        <w:spacing w:after="120"/>
        <w:jc w:val="both"/>
      </w:pPr>
      <w:r>
        <w:t xml:space="preserve">Subject-matter: provision of a cloud pharmacovigilance platform. Duration: the term of the Agreement plus the transition-out period. Nature and purpose: collection, storage, processing, analysis and regulatory reporting of adverse-event and drug-safety data. Types of Personal Data: identifiers of reporters and patients (which may be pseudonymised), health and special-category data relating to adverse events. Categories of data subject: patients, healthcare professionals, reporters and the Customer's personnel.</w:t>
      </w:r>
    </w:p>
    <w:p>
      <w:pPr>
        <w:spacing w:before="160"/>
      </w:pPr>
      <w:r>
        <w:rPr>
          <w:i/>
          <w:iCs/>
          <w:sz w:val="18"/>
          <w:szCs w:val="18"/>
        </w:rPr>
        <w:t xml:space="preserve">ANNEX 2 — Authorised sub-processors: as listed in clause 4 above.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 / DPA</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Schedule 5 — Data Processing Agreement — Project Meridian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2026-06-25T16:10:45.757Z</dcterms:created>
  <dcterms:modified xsi:type="dcterms:W3CDTF">2026-06-25T16:10:45.757Z</dcterms:modified>
</cp:coreProperties>
</file>

<file path=docProps/custom.xml><?xml version="1.0" encoding="utf-8"?>
<Properties xmlns="http://schemas.openxmlformats.org/officeDocument/2006/custom-properties" xmlns:vt="http://schemas.openxmlformats.org/officeDocument/2006/docPropsVTypes"/>
</file>