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WHITFIELD CARTER LLP</w:t>
      </w:r>
    </w:p>
    <w:p>
      <w:pPr>
        <w:spacing w:after="40"/>
        <w:jc w:val="center"/>
      </w:pPr>
      <w:r>
        <w:rPr>
          <w:i/>
          <w:iCs/>
          <w:sz w:val="18"/>
          <w:szCs w:val="18"/>
        </w:rPr>
        <w:t xml:space="preserve">Solicitors</w:t>
      </w:r>
    </w:p>
    <w:p>
      <w:pPr>
        <w:jc w:val="center"/>
      </w:pPr>
      <w:r>
        <w:rPr>
          <w:color w:val="555555"/>
          <w:sz w:val="16"/>
          <w:szCs w:val="16"/>
        </w:rPr>
        <w:t xml:space="preserve">22 Bishopsgate, London EC2N 4BQ  |  T +44 (0)20 7946 0100  |  www.whitfieldcarter.com</w:t>
      </w:r>
    </w:p>
    <w:p>
      <w:pPr>
        <w:pBdr>
          <w:bottom w:val="single" w:color="1F3864" w:sz="6" w:space="4"/>
        </w:pBdr>
        <w:spacing w:after="200"/>
      </w:pPr>
    </w:p>
    <w:p>
      <w:pPr>
        <w:tabs>
          <w:tab w:val="right" w:pos="9026"/>
        </w:tabs>
        <w:spacing w:after="200"/>
      </w:pPr>
      <w:r>
        <w:t xml:space="preserve">Private &amp; Confidential</w:t>
      </w:r>
      <w:r>
        <w:t xml:space="preserve">	2 October 2025</w:t>
      </w:r>
    </w:p>
    <w:p>
      <w:pPr>
        <w:spacing w:after="120"/>
        <w:jc w:val="both"/>
      </w:pPr>
      <w:r>
        <w:t xml:space="preserve">Dr Helena Vance</w:t>
      </w:r>
    </w:p>
    <w:p>
      <w:pPr>
        <w:spacing w:after="120"/>
        <w:jc w:val="both"/>
      </w:pPr>
      <w:r>
        <w:t xml:space="preserve">Chief Executive Officer</w:t>
      </w:r>
    </w:p>
    <w:p>
      <w:pPr>
        <w:spacing w:after="120"/>
        <w:jc w:val="both"/>
      </w:pPr>
      <w:r>
        <w:t xml:space="preserve">Hartwell Pharma Limited</w:t>
      </w:r>
    </w:p>
    <w:p>
      <w:pPr>
        <w:spacing w:after="120"/>
        <w:jc w:val="both"/>
      </w:pPr>
      <w:r>
        <w:t xml:space="preserve">Hartwell House, Granta Park, Cambridge CB21 6GP</w:t>
      </w:r>
    </w:p>
    <w:p>
      <w:pPr>
        <w:spacing w:before="160"/>
      </w:pPr>
      <w:r>
        <w:t xml:space="preserve">Dear Helena</w:t>
      </w:r>
    </w:p>
    <w:p>
      <w:pPr>
        <w:spacing w:after="120" w:before="120"/>
      </w:pPr>
      <w:r>
        <w:rPr>
          <w:b/>
          <w:bCs/>
        </w:rPr>
        <w:t xml:space="preserve">Project Meridian — procurement of the Sentvia Vigil™ pharmacovigilance platform (our ref: WC-00122)</w:t>
      </w:r>
    </w:p>
    <w:p>
      <w:pPr>
        <w:spacing w:after="120"/>
        <w:jc w:val="both"/>
      </w:pPr>
      <w:r>
        <w:t xml:space="preserve">Thank you for instructing Whitfield Carter LLP in connection with the proposed procurement by Hartwell Pharma Limited (the “Company”) of a software-as-a-service subscription to the Sentvia Vigil™ pharmacovigilance and clinical-safety platform from Sentvia Health Systems Limited (the “Supplier”), together with the associated implementation, data-migration and support arrangements (the “Transaction”). This letter sets out the basis on which we will act for the Company.</w:t>
      </w:r>
    </w:p>
    <w:p>
      <w:pPr>
        <w:spacing w:after="80" w:before="120"/>
      </w:pPr>
      <w:r>
        <w:rPr>
          <w:b/>
          <w:bCs/>
        </w:rPr>
        <w:t xml:space="preserve">1.  Scope of our engagement</w:t>
      </w:r>
    </w:p>
    <w:p>
      <w:pPr>
        <w:spacing w:after="120"/>
        <w:jc w:val="both"/>
      </w:pPr>
      <w:r>
        <w:t xml:space="preserve">Our engagement comprises: (a) reviewing and negotiating the Supplier's proposed Master SaaS Subscription Agreement and its schedules, including the service-level agreement, data processing agreement and security schedule; (b) advising on the allocation of risk, limitation of liability and the data-protection and regulatory provisions relevant to a regulated pharmaceutical customer; (c) advising on the statement of work and acceptance criteria for implementation and data migration; and (d) supporting execution and completion. Our engagement does not extend to advising on the technical adequacy of the Platform, on the Company's tax position, or on any non-UK law, in respect of which we would instruct local counsel if required.</w:t>
      </w:r>
    </w:p>
    <w:p>
      <w:pPr>
        <w:spacing w:after="80" w:before="120"/>
      </w:pPr>
      <w:r>
        <w:rPr>
          <w:b/>
          <w:bCs/>
        </w:rPr>
        <w:t xml:space="preserve">2.  Our team</w:t>
      </w:r>
    </w:p>
    <w:p>
      <w:pPr>
        <w:spacing w:after="120"/>
        <w:jc w:val="both"/>
      </w:pPr>
      <w:r>
        <w:t xml:space="preserve">The partner with overall responsibility for this matter is Sarah Whitfield. The day-to-day conduct of the matter will be led by James Osei (Senior Associate), supported by Elena Marchetti (Associate). You may contact any member of the team, but James will ordinarily be your first point of contact.</w:t>
      </w:r>
    </w:p>
    <w:p>
      <w:pPr>
        <w:spacing w:after="80" w:before="120"/>
      </w:pPr>
      <w:r>
        <w:rPr>
          <w:b/>
          <w:bCs/>
        </w:rPr>
        <w:t xml:space="preserve">3.  Fees and disbursements</w:t>
      </w:r>
    </w:p>
    <w:p>
      <w:pPr>
        <w:spacing w:after="120"/>
        <w:jc w:val="both"/>
      </w:pPr>
      <w:r>
        <w:t xml:space="preserve">Our fees are calculated principally by reference to the time spent by those working on the matter. The current hourly rates (exclusive of VAT) of the team are: Sarah Whitfield £640; James Osei £445; Elena Marchetti £310. We estimate our fees for the Transaction, on the assumption that negotiation proceeds to a normal timetable and that no materially contentious issues arise, to be in the region of £42,000 to £55,000 plus VAT and disbursements. This is an estimate and not a fixed quotation; we will notify you promptly if it appears likely to be exceeded.</w:t>
      </w:r>
    </w:p>
    <w:p>
      <w:pPr>
        <w:spacing w:after="80" w:before="120"/>
      </w:pPr>
      <w:r>
        <w:rPr>
          <w:b/>
          <w:bCs/>
        </w:rPr>
        <w:t xml:space="preserve">4.  Billing</w:t>
      </w:r>
    </w:p>
    <w:p>
      <w:pPr>
        <w:spacing w:after="120"/>
        <w:jc w:val="both"/>
      </w:pPr>
      <w:r>
        <w:t xml:space="preserve">We will render invoices monthly in arrears. Our invoices are payable within 30 days. Interest may be charged on overdue invoices in accordance with our standard terms of business enclosed with this letter.</w:t>
      </w:r>
    </w:p>
    <w:p>
      <w:pPr>
        <w:spacing w:after="80" w:before="120"/>
      </w:pPr>
      <w:r>
        <w:rPr>
          <w:b/>
          <w:bCs/>
        </w:rPr>
        <w:t xml:space="preserve">5.  Confidentiality and conflicts</w:t>
      </w:r>
    </w:p>
    <w:p>
      <w:pPr>
        <w:spacing w:after="120"/>
        <w:jc w:val="both"/>
      </w:pPr>
      <w:r>
        <w:t xml:space="preserve">We have carried out a conflict check and are not aware of any conflict of interest that would prevent us from acting. We will keep your affairs confidential in accordance with our professional obligations and the enclosed terms of business.</w:t>
      </w:r>
    </w:p>
    <w:p>
      <w:pPr>
        <w:spacing w:after="120"/>
        <w:jc w:val="both"/>
      </w:pPr>
      <w:r>
        <w:t xml:space="preserve">We are delighted to be working with you on this matter. Please confirm your agreement to the terms of this letter and the enclosed terms of business by signing and returning the enclosed copy.</w:t>
      </w:r>
    </w:p>
    <w:p>
      <w:pPr>
        <w:spacing w:before="160"/>
      </w:pPr>
      <w:r>
        <w:t xml:space="preserve">Yours sincerely</w:t>
      </w:r>
    </w:p>
    <w:p>
      <w:pPr>
        <w:spacing w:after="40" w:before="240"/>
      </w:pPr>
      <w:r>
        <w:t xml:space="preserve">Sarah Whitfield</w:t>
      </w:r>
    </w:p>
    <w:p>
      <w:pPr>
        <w:spacing w:after="120"/>
        <w:jc w:val="both"/>
      </w:pPr>
      <w:r>
        <w:t xml:space="preserve">Partner</w:t>
      </w:r>
    </w:p>
    <w:p>
      <w:pPr>
        <w:spacing w:after="120"/>
        <w:jc w:val="both"/>
      </w:pPr>
      <w:r>
        <w:t xml:space="preserve">Whitfield Carter LLP</w:t>
      </w:r>
    </w:p>
    <w:p>
      <w:pPr>
        <w:spacing w:before="60"/>
      </w:pPr>
      <w:r>
        <w:rPr>
          <w:i/>
          <w:iCs/>
          <w:sz w:val="18"/>
          <w:szCs w:val="18"/>
        </w:rPr>
        <w:t xml:space="preserve">Enc: Whitfield Carter LLP standard terms of business</w:t>
      </w:r>
    </w:p>
    <w:p>
      <w:pPr>
        <w:spacing w:before="40"/>
      </w:pPr>
      <w:r>
        <w:rPr>
          <w:color w:val="777777"/>
          <w:sz w:val="14"/>
          <w:szCs w:val="14"/>
        </w:rPr>
        <w:t xml:space="preserve">Whitfield Carter LLP is a limited liability partnership registered in England and Wales (OC394215) and is authorised and regulated by the Solicitors Regulation Authority.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2"/>
      </w:pBdr>
      <w:tabs>
        <w:tab w:val="right" w:pos="9026"/>
      </w:tabs>
    </w:pPr>
    <w:r>
      <w:rPr>
        <w:color w:val="666666"/>
        <w:sz w:val="16"/>
        <w:szCs w:val="16"/>
      </w:rPr>
      <w:t xml:space="preserve">WC-00122</w:t>
    </w:r>
    <w:r>
      <w:rPr>
        <w:sz w:val="16"/>
        <w:szCs w:val="16"/>
      </w:rPr>
      <w:t xml:space="preserve">	</w:t>
    </w: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jc w:val="right"/>
    </w:pPr>
    <w:r>
      <w:rPr>
        <w:color w:val="666666"/>
        <w:sz w:val="16"/>
        <w:szCs w:val="16"/>
      </w:rPr>
      <w:t xml:space="preserve">Whitfield Carter LLP — Engagement Letter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5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Arial" w:cs="Arial" w:eastAsia="Arial" w:hAnsi="Arial"/>
      <w:b/>
      <w:bCs/>
      <w:sz w:val="24"/>
      <w:szCs w:val="24"/>
    </w:rPr>
  </w:style>
  <w:style w:type="paragraph" w:styleId="Heading2">
    <w:name w:val="Heading 2"/>
    <w:basedOn w:val="Normal"/>
    <w:next w:val="Normal"/>
    <w:qFormat/>
    <w:pPr>
      <w:keepNext/>
      <w:spacing w:after="12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2026-06-25T16:10:45.720Z</dcterms:created>
  <dcterms:modified xsi:type="dcterms:W3CDTF">2026-06-25T16:10:45.720Z</dcterms:modified>
</cp:coreProperties>
</file>

<file path=docProps/custom.xml><?xml version="1.0" encoding="utf-8"?>
<Properties xmlns="http://schemas.openxmlformats.org/officeDocument/2006/custom-properties" xmlns:vt="http://schemas.openxmlformats.org/officeDocument/2006/docPropsVTypes"/>
</file>