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  <w:jc w:val="center"/>
      </w:pPr>
      <w:r>
        <w:rPr>
          <w:b/>
          <w:bCs/>
          <w:sz w:val="24"/>
          <w:szCs w:val="24"/>
        </w:rPr>
        <w:t xml:space="preserve">SCHEDULE 3 — SERVICE LEVEL AGREEMENT</w:t>
      </w:r>
    </w:p>
    <w:p>
      <w:pPr>
        <w:spacing w:after="200"/>
        <w:jc w:val="center"/>
      </w:pPr>
      <w:r>
        <w:rPr>
          <w:i/>
          <w:iCs/>
          <w:sz w:val="20"/>
          <w:szCs w:val="20"/>
        </w:rPr>
        <w:t xml:space="preserve">to the Master SaaS Subscription Agreement — Sentvia Vigil™ Platform</w:t>
      </w:r>
    </w:p>
    <w:p>
      <w:pPr>
        <w:pStyle w:val="Heading1"/>
      </w:pPr>
      <w:r>
        <w:t xml:space="preserve">1.  AVAILABILITY</w:t>
      </w:r>
    </w:p>
    <w:p>
      <w:pPr>
        <w:spacing w:after="120"/>
        <w:jc w:val="both"/>
      </w:pPr>
      <w:r>
        <w:t xml:space="preserve">The Supplier shall make the Production environment of the Platform available for at least 99.8% of each calendar month (the “Availability Target”), measured 24 hours a day, 7 days a week, excluding Permitted Downtime. “Permitted Downtime” means planned maintenance notified at least 5 Business Days in advance and carried out within the maintenance window of 22:00 to 02:00 UK time on a Sunday, not exceeding 4 hours in any calendar month.</w:t>
      </w:r>
    </w:p>
    <w:p>
      <w:pPr>
        <w:pStyle w:val="Heading1"/>
      </w:pPr>
      <w:r>
        <w:t xml:space="preserve">2.  SUPPORT — INCIDENT PRIORITIES AND RESPONSE TIMES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326"/>
        <w:gridCol w:w="2200"/>
        <w:gridCol w:w="2200"/>
      </w:tblGrid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3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Definition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Target response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Target resolution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P1 — Critical</w:t>
            </w:r>
          </w:p>
        </w:tc>
        <w:tc>
          <w:tcPr>
            <w:tcW w:type="dxa" w:w="3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Platform unavailable or core safety case-processing prevented; no workaround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30 minutes (24x7)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 working hours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P2 — High</w:t>
            </w:r>
          </w:p>
        </w:tc>
        <w:tc>
          <w:tcPr>
            <w:tcW w:type="dxa" w:w="3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Major function impaired; regulatory submission at risk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hour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 working hours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P3 — Medium</w:t>
            </w:r>
          </w:p>
        </w:tc>
        <w:tc>
          <w:tcPr>
            <w:tcW w:type="dxa" w:w="3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Minor function impaired; workaround available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 working hours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 Business Days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P4 — Low</w:t>
            </w:r>
          </w:p>
        </w:tc>
        <w:tc>
          <w:tcPr>
            <w:tcW w:type="dxa" w:w="3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Cosmetic issue, query or enhancement request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Business Day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Next release / as agreed</w:t>
            </w:r>
          </w:p>
        </w:tc>
      </w:tr>
    </w:tbl>
    <w:p>
      <w:pPr>
        <w:pStyle w:val="Heading1"/>
      </w:pPr>
      <w:r>
        <w:t xml:space="preserve">3.  SERVICE CREDITS</w:t>
      </w:r>
    </w:p>
    <w:p>
      <w:pPr>
        <w:spacing w:after="120"/>
        <w:jc w:val="both"/>
      </w:pPr>
      <w:r>
        <w:t xml:space="preserve">If the measured availability in any calendar month falls below the Availability Target, the Supplier shall, on the Customer's request, credit the Customer against future subscription Charges as follows: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Measured monthly availability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Service credit (% of monthly subscription)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99.0% to &lt; 99.8%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5%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97.0% to &lt; 99.0%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10%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95.0% to &lt; 97.0%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20%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below 95.0%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30%</w:t>
            </w:r>
          </w:p>
        </w:tc>
      </w:tr>
    </w:tbl>
    <w:p>
      <w:pPr>
        <w:spacing w:after="120"/>
        <w:jc w:val="both"/>
      </w:pPr>
      <w:r>
        <w:t xml:space="preserve">The aggregate service credits payable in any calendar month shall not exceed 30% of the monthly subscription Charges. Service credits are the Customer's sole financial remedy for failure to meet the Availability Target, save that if measured availability falls below 95.0% in any 2 consecutive months or any 3 months in a rolling 12-month period, this shall constitute a material breach entitling the Customer to terminate under clause 11.1 of the Agreement.</w:t>
      </w:r>
    </w:p>
    <w:p>
      <w:pPr>
        <w:pStyle w:val="Heading1"/>
      </w:pPr>
      <w:r>
        <w:t xml:space="preserve">4.  SUPPORT HOURS AND ESCALATION</w:t>
      </w:r>
    </w:p>
    <w:p>
      <w:pPr>
        <w:spacing w:after="120"/>
        <w:jc w:val="both"/>
      </w:pPr>
      <w:r>
        <w:t xml:space="preserve">Standard support is provided 08:00 to 18:00 UK time on Business Days; P1 and P2 incidents are supported 24 hours a day, 7 days a week, including public holidays. Incidents may be raised via the support portal, by email to support@sentivahealth.com, or by telephone for P1 incidents. The escalation path is: Support Engineer → Service Delivery Manager → Head of Customer Success → Chief Technology Officer.</w:t>
      </w:r>
    </w:p>
    <w:p>
      <w:pPr>
        <w:pStyle w:val="Heading1"/>
      </w:pPr>
      <w:r>
        <w:t xml:space="preserve">5.  CONTINUITY AND RECOVERY</w:t>
      </w:r>
    </w:p>
    <w:p>
      <w:pPr>
        <w:spacing w:after="120"/>
        <w:jc w:val="both"/>
      </w:pPr>
      <w:r>
        <w:t xml:space="preserve">The Supplier shall maintain a documented business-continuity and disaster-recovery plan, tested at least annually, with a Recovery Time Objective (RTO) of 4 hours and a Recovery Point Objective (RPO) of 15 minutes for Production data. Backups shall be taken not less frequently than every 4 hours and retained for a minimum of 35 days.</w:t>
      </w:r>
    </w:p>
    <w:p>
      <w:pPr>
        <w:pStyle w:val="Heading1"/>
      </w:pPr>
      <w:r>
        <w:t xml:space="preserve">6.  SERVICE REPORTING AND REVIEW</w:t>
      </w:r>
    </w:p>
    <w:p>
      <w:pPr>
        <w:spacing w:after="120"/>
        <w:jc w:val="both"/>
      </w:pPr>
      <w:r>
        <w:t xml:space="preserve">The Supplier shall provide a monthly service report covering measured availability, incident volumes by priority, response and resolution performance, and any service credits accrued. The parties shall hold a quarterly service-review meeting to review performance against the Service Levels and to discuss the platform roadmap.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99999" w:sz="4" w:space="2"/>
      </w:pBdr>
      <w:tabs>
        <w:tab w:val="right" w:pos="9026"/>
      </w:tabs>
    </w:pPr>
    <w:r>
      <w:rPr>
        <w:color w:val="666666"/>
        <w:sz w:val="16"/>
        <w:szCs w:val="16"/>
      </w:rPr>
      <w:t xml:space="preserve">WC-00122 / SLA</w:t>
    </w:r>
    <w:r>
      <w:rPr>
        <w:sz w:val="16"/>
        <w:szCs w:val="16"/>
      </w:rPr>
      <w:t xml:space="preserve">	</w:t>
    </w:r>
    <w:r>
      <w:rPr>
        <w:color w:val="666666"/>
        <w:sz w:val="16"/>
        <w:szCs w:val="16"/>
      </w:rPr>
      <w:t xml:space="preserve">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6"/>
        <w:szCs w:val="16"/>
      </w:rPr>
      <w:t xml:space="preserve"> of </w:t>
    </w:r>
    <w:r>
      <w:rPr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99999" w:sz="4" w:space="2"/>
      </w:pBdr>
      <w:jc w:val="right"/>
    </w:pPr>
    <w:r>
      <w:rPr>
        <w:color w:val="666666"/>
        <w:sz w:val="16"/>
        <w:szCs w:val="16"/>
      </w:rPr>
      <w:t xml:space="preserve">Schedule 3 — Service Level Agreement — Project Meridian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0" w:hanging="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upperLetter"/>
      <w:lvlText w:val="(%1)"/>
      <w:lvlJc w:val="left"/>
      <w:pPr>
        <w:ind w:left="720" w:hanging="5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60" w:before="240"/>
      <w:outlineLvl w:val="0"/>
    </w:pPr>
    <w:rPr>
      <w:rFonts w:ascii="Arial" w:cs="Arial" w:eastAsia="Arial" w:hAnsi="Arial"/>
      <w:b/>
      <w:bCs/>
      <w:sz w:val="24"/>
      <w:szCs w:val="24"/>
    </w:rPr>
  </w:style>
  <w:style w:type="paragraph" w:styleId="Heading2">
    <w:name w:val="Heading 2"/>
    <w:basedOn w:val="Normal"/>
    <w:next w:val="Normal"/>
    <w:qFormat/>
    <w:pPr>
      <w:keepNext/>
      <w:spacing w:after="120" w:before="180"/>
      <w:outlineLvl w:val="1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2026-06-25T16:10:45.747Z</dcterms:created>
  <dcterms:modified xsi:type="dcterms:W3CDTF">2026-06-25T16:10:45.747Z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