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sz w:val="26"/>
          <w:szCs w:val="26"/>
        </w:rPr>
        <w:t xml:space="preserve">STATEMENT OF WORK No. SOW-01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under the Master SaaS Subscription Agreement dated [●] October 2025
between Sentvia Health Systems Limited and Hartwell Pharma Limited</w:t>
      </w:r>
    </w:p>
    <w:p>
      <w:pPr>
        <w:pStyle w:val="Heading1"/>
      </w:pPr>
      <w:r>
        <w:t xml:space="preserve">1.  PURPOSE</w:t>
      </w:r>
    </w:p>
    <w:p>
      <w:pPr>
        <w:spacing w:after="120"/>
        <w:jc w:val="both"/>
      </w:pPr>
      <w:r>
        <w:t xml:space="preserve">This Statement of Work describes the implementation, configuration, validation and data-migration services to be provided by the Supplier to enable the Customer to adopt the Sentvia Vigil™ platform as its global pharmacovigilance case-management system. It is governed by, and incorporated into, the Master SaaS Subscription Agreement (the “Agreement”). Capitalised terms have the meanings given in the Agreement.</w:t>
      </w:r>
    </w:p>
    <w:p>
      <w:pPr>
        <w:pStyle w:val="Heading1"/>
      </w:pPr>
      <w:r>
        <w:t xml:space="preserve">2.  SCOPE OF SERVICES</w:t>
      </w:r>
    </w:p>
    <w:p>
      <w:pPr>
        <w:spacing w:after="120"/>
        <w:jc w:val="both"/>
      </w:pPr>
      <w:r>
        <w:t xml:space="preserve">The Supplier shall provide the following work-streams: (a) project mobilisation and governance; (b) provisioning of Production, Validation and Sandbox environments; (c) configuration of intake channels, case-processing workflows, MedDRA and WHODrug dictionaries and E2B(R3) gateway routing; (d) migration of legacy case data from the Customer's incumbent Argus Safety database; (e) computer-system validation (CSV) in accordance with GAMP 5 and Annex 11, including the production of validation documentation; and (f) user-acceptance support and go-live cut-over.</w:t>
      </w:r>
    </w:p>
    <w:p>
      <w:pPr>
        <w:pStyle w:val="Heading1"/>
      </w:pPr>
      <w:r>
        <w:t xml:space="preserve">3.  MILESTONES AND DELIVERABLES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26"/>
        <w:gridCol w:w="2200"/>
        <w:gridCol w:w="1600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Fee (£)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Initiation Document &amp; validated Implementation Plan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sign-off of PID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21,750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Environments provisioned (Prod/UAT/Sandbox)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Connectivity &amp; access confirmed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21,750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Configuration complete; configuration specification approved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 spec signed off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29,000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migration dry-run &amp; reconciliation report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≥99.9% record reconciliation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29,000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/ validation pack delivered (IQ/OQ/PQ)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summary report approved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21,750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Go-live and 2-week hypercare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acceptance certificate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21,750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fixed fee (exclusive of VAT)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145,000</w:t>
            </w:r>
          </w:p>
        </w:tc>
      </w:tr>
    </w:tbl>
    <w:p>
      <w:pPr>
        <w:pStyle w:val="Heading1"/>
      </w:pPr>
      <w:r>
        <w:t xml:space="preserve">4.  TIMELINE</w:t>
      </w:r>
    </w:p>
    <w:p>
      <w:pPr>
        <w:spacing w:after="120"/>
        <w:jc w:val="both"/>
      </w:pPr>
      <w:r>
        <w:t xml:space="preserve">The Supplier shall use reasonable endeavours to achieve go-live within 16 weeks of the Effective Date, in accordance with the detailed Implementation Plan to be agreed at M1. The indicative schedule is: Initiation (weeks 1–2), Configuration (weeks 3–8), Migration &amp; validation (weeks 9–14), UAT &amp; go-live (weeks 15–16).</w:t>
      </w:r>
    </w:p>
    <w:p>
      <w:pPr>
        <w:pStyle w:val="Heading1"/>
      </w:pPr>
      <w:r>
        <w:t xml:space="preserve">5.  CUSTOMER RESPONSIBILITIES</w:t>
      </w:r>
    </w:p>
    <w:p>
      <w:pPr>
        <w:spacing w:after="120"/>
        <w:jc w:val="both"/>
      </w:pPr>
      <w:r>
        <w:t xml:space="preserve">The Customer shall: nominate a project sponsor and a project manager; provide timely access to source data, subject-matter experts and its quality function; review and approve deliverables within 5 Business Days of submission; and provide a validated extract of its legacy Argus database for migration. Delay by the Customer in performing these responsibilities may entitle the Supplier to a reasonable extension of the timeline.</w:t>
      </w:r>
    </w:p>
    <w:p>
      <w:pPr>
        <w:pStyle w:val="Heading1"/>
      </w:pPr>
      <w:r>
        <w:t xml:space="preserve">6.  ACCEPTANCE</w:t>
      </w:r>
    </w:p>
    <w:p>
      <w:pPr>
        <w:spacing w:after="120"/>
        <w:jc w:val="both"/>
      </w:pPr>
      <w:r>
        <w:t xml:space="preserve">Each milestone deliverable shall be deemed accepted on the earlier of (a) the Customer's written acceptance, and (b) 5 Business Days after submission if the Customer has not provided written notice of non-conformance specifying in reasonable detail the respects in which the deliverable fails to meet its acceptance criteria. Where the Customer gives such notice, the Supplier shall correct the non-conformance and re-submit within 10 Business Days.</w:t>
      </w:r>
    </w:p>
    <w:p>
      <w:pPr>
        <w:pStyle w:val="Heading1"/>
      </w:pPr>
      <w:r>
        <w:t xml:space="preserve">7.  CHARGES</w:t>
      </w:r>
    </w:p>
    <w:p>
      <w:pPr>
        <w:spacing w:after="120"/>
        <w:jc w:val="both"/>
      </w:pPr>
      <w:r>
        <w:t xml:space="preserve">The total fixed fee for the services described in this SOW is £145,000 (exclusive of VAT), invoiced on achievement of each milestone as set out in the table at clause 3. Any change to scope shall be handled through the change-control procedure in clause 8.</w:t>
      </w:r>
    </w:p>
    <w:p>
      <w:pPr>
        <w:pStyle w:val="Heading1"/>
      </w:pPr>
      <w:r>
        <w:t xml:space="preserve">8.  CHANGE CONTROL</w:t>
      </w:r>
    </w:p>
    <w:p>
      <w:pPr>
        <w:spacing w:after="120"/>
        <w:jc w:val="both"/>
      </w:pPr>
      <w:r>
        <w:t xml:space="preserve">Either party may request a change to this SOW by written notice. The Supplier shall, within 5 Business Days, provide a change-impact assessment setting out the effect on scope, timeline and charges. No change shall take effect until agreed in writing and signed by an authorised representative of each party.</w:t>
      </w:r>
    </w:p>
    <w:p>
      <w:pPr>
        <w:spacing w:before="240"/>
      </w:pPr>
      <w:r>
        <w:rPr>
          <w:b/>
          <w:bCs/>
        </w:rPr>
        <w:t xml:space="preserve">AGREED by the parties:</w:t>
      </w:r>
    </w:p>
    <w:p>
      <w:pPr>
        <w:spacing w:after="120"/>
        <w:jc w:val="both"/>
      </w:pPr>
      <w:r>
        <w:t xml:space="preserve">For Sentvia Health Systems Limited: ........................   Date: ............</w:t>
      </w:r>
    </w:p>
    <w:p>
      <w:pPr>
        <w:spacing w:after="120"/>
        <w:jc w:val="both"/>
      </w:pPr>
      <w:r>
        <w:t xml:space="preserve">For Hartwell Pharma Limited: ........................   Date: 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2"/>
      </w:pBdr>
      <w:tabs>
        <w:tab w:val="right" w:pos="9026"/>
      </w:tabs>
    </w:pPr>
    <w:r>
      <w:rPr>
        <w:color w:val="666666"/>
        <w:sz w:val="16"/>
        <w:szCs w:val="16"/>
      </w:rPr>
      <w:t xml:space="preserve">WC-00122 / Sentvia–Hartwell SOW-01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jc w:val="right"/>
    </w:pPr>
    <w:r>
      <w:rPr>
        <w:color w:val="666666"/>
        <w:sz w:val="16"/>
        <w:szCs w:val="16"/>
      </w:rPr>
      <w:t xml:space="preserve">Statement of Work SOW-01 — Project Meridian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(%1)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2026-06-25T16:10:45.734Z</dcterms:created>
  <dcterms:modified xsi:type="dcterms:W3CDTF">2026-06-25T16:10:45.734Z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