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Hargrove &amp; Associates LLP</w:t>
      </w:r>
    </w:p>
    <w:p>
      <w:pPr>
        <w:spacing w:after="120"/>
      </w:pPr>
      <w:r>
        <w:t xml:space="preserve">17 Carter Lane, London EC4V 5EN</w:t>
      </w:r>
    </w:p>
    <w:p>
      <w:pPr>
        <w:spacing w:after="120"/>
      </w:pPr>
      <w:r>
        <w:t xml:space="preserve">For the attention of Rachel Hargrove</w:t>
      </w:r>
    </w:p>
    <w:p>
      <w:pPr>
        <w:spacing w:after="120"/>
      </w:pPr>
      <w:r>
        <w:t xml:space="preserve">19 September 2025</w:t>
      </w:r>
    </w:p>
    <w:p>
      <w:pPr>
        <w:spacing w:after="120"/>
      </w:pPr>
      <w:r>
        <w:rPr>
          <w:i/>
          <w:iCs/>
          <w:sz w:val="18"/>
          <w:szCs w:val="18"/>
        </w:rPr>
        <w:t xml:space="preserve">By email and by post</w:t>
      </w:r>
    </w:p>
    <w:p>
      <w:pPr>
        <w:spacing w:after="60"/>
        <w:jc w:val="center"/>
      </w:pPr>
      <w:r>
        <w:rPr>
          <w:b/>
          <w:bCs/>
          <w:color w:val="1F3864"/>
          <w:sz w:val="30"/>
          <w:szCs w:val="30"/>
        </w:rPr>
        <w:t xml:space="preserve">DISCLOSURE LETTER</w:t>
      </w:r>
    </w:p>
    <w:p>
      <w:pPr>
        <w:spacing w:after="240"/>
        <w:jc w:val="center"/>
      </w:pPr>
      <w:r>
        <w:rPr>
          <w:color w:val="595959"/>
          <w:sz w:val="20"/>
          <w:szCs w:val="20"/>
        </w:rPr>
        <w:t xml:space="preserve">Patent Licence Agreement — CBX-417 (Project Vertex)</w:t>
      </w:r>
    </w:p>
    <w:p>
      <w:pPr>
        <w:spacing w:after="120"/>
      </w:pPr>
      <w:r>
        <w:t xml:space="preserve">Dear Sirs</w:t>
      </w:r>
    </w:p>
    <w:p>
      <w:pPr>
        <w:spacing w:after="120"/>
      </w:pPr>
      <w:r>
        <w:t xml:space="preserve">We refer to the patent licence agreement to be entered into between Calbryn Therapeutics Limited (the “Licensor”) and Hartwell Pharma Limited (the “Licensee”) relating to the CBX-417 programme (the “Agreement”). Terms defined in the Agreement have the same meaning in this letter.</w:t>
      </w:r>
    </w:p>
    <w:p>
      <w:pPr>
        <w:spacing w:after="120"/>
      </w:pPr>
      <w:r>
        <w:t xml:space="preserve">This letter is the Disclosure Letter referred to in clause 6 of the Agreement. The Warranties are given subject to the matters fairly disclosed in this letter and the attached bundle, and the Licensee shall not be entitled to claim that any such matter is a breach of the Warranties.</w:t>
      </w:r>
    </w:p>
    <w:p>
      <w:pPr>
        <w:pStyle w:val="Heading1"/>
      </w:pPr>
      <w:r>
        <w:t xml:space="preserve">1.  General disclosures</w:t>
      </w:r>
    </w:p>
    <w:p>
      <w:pPr>
        <w:spacing w:after="120"/>
      </w:pPr>
      <w:r>
        <w:t xml:space="preserve">The Licensee is deemed to have knowledge of all matters which would be revealed by a search of the public registers maintained by the UK Intellectual Property Office, the European Patent Office, the USPTO and equivalent offices in the Territory, and of the contents of the data room made available to the Licensee.</w:t>
      </w:r>
    </w:p>
    <w:p>
      <w:pPr>
        <w:pStyle w:val="Heading1"/>
      </w:pPr>
      <w:r>
        <w:t xml:space="preserve">2.  Specific disclosures</w:t>
      </w:r>
    </w:p>
    <w:p>
      <w:pPr>
        <w:spacing w:after="120"/>
      </w:pPr>
      <w:r>
        <w:rPr>
          <w:b/>
          <w:bCs/>
        </w:rPr>
        <w:t xml:space="preserve">Against the Warranty in clause 6(b) (no third-party licences):</w:t>
      </w:r>
    </w:p>
    <w:p>
      <w:pPr>
        <w:pStyle w:val="ListParagraph"/>
        <w:numPr>
          <w:ilvl w:val="0"/>
          <w:numId w:val="2"/>
        </w:numPr>
        <w:spacing w:after="100"/>
      </w:pPr>
      <w:r>
        <w:t xml:space="preserve">Patent family CBX-VTX-010 (companion diagnostic) is subject to a non-exclusive research-use licence granted to Meridian Diagnostics GmbH dated 3 March 2022, limited to non-commercial assay development. A copy is at tab 4 of the bundle.</w:t>
      </w:r>
    </w:p>
    <w:p>
      <w:pPr>
        <w:spacing w:after="120"/>
      </w:pPr>
      <w:r>
        <w:rPr>
          <w:b/>
          <w:bCs/>
        </w:rPr>
        <w:t xml:space="preserve">Against the Warranty in clause 6(c) (no infringement notices):</w:t>
      </w:r>
    </w:p>
    <w:p>
      <w:pPr>
        <w:pStyle w:val="ListParagraph"/>
        <w:numPr>
          <w:ilvl w:val="0"/>
          <w:numId w:val="2"/>
        </w:numPr>
        <w:spacing w:after="100"/>
      </w:pPr>
      <w:r>
        <w:t xml:space="preserve">On 11 April 2024 the Licensor received a letter from Pemberton Rowe LLP on behalf of an undisclosed client querying the scope of claim 1 of CBX-VTX-006. The Licensor responded on 2 May 2024 and has received no further correspondence. Copies are at tab 7.</w:t>
      </w:r>
    </w:p>
    <w:p>
      <w:pPr>
        <w:spacing w:after="120"/>
      </w:pPr>
      <w:r>
        <w:rPr>
          <w:b/>
          <w:bCs/>
        </w:rPr>
        <w:t xml:space="preserve">Against the Warranty in clause 6(d) (renewal fees):</w:t>
      </w:r>
    </w:p>
    <w:p>
      <w:pPr>
        <w:pStyle w:val="ListParagraph"/>
        <w:numPr>
          <w:ilvl w:val="0"/>
          <w:numId w:val="2"/>
        </w:numPr>
        <w:spacing w:after="100"/>
      </w:pPr>
      <w:r>
        <w:t xml:space="preserve">The renewal fee for the US designation of CBX-VTX-009 was paid within the six-month grace period on 28 January 2025; a surcharge was incurred but the patent remains in force. Evidence is at tab 9.</w:t>
      </w:r>
    </w:p>
    <w:p>
      <w:pPr>
        <w:pStyle w:val="Heading1"/>
      </w:pPr>
      <w:r>
        <w:t xml:space="preserve">3.  Status of pending applications</w:t>
      </w:r>
    </w:p>
    <w:p>
      <w:pPr>
        <w:spacing w:after="120"/>
      </w:pPr>
      <w:r>
        <w:t xml:space="preserve">Eight of the fourteen patent families remain pending. The Licensee is aware that no assurance can be given as to the scope of claims that will ultimately be granted, and the Warranties are qualified accordingly.</w:t>
      </w:r>
    </w:p>
    <w:p>
      <w:pPr>
        <w:spacing w:after="120"/>
      </w:pPr>
      <w:r>
        <w:t xml:space="preserve">
Yours faithfully</w:t>
      </w:r>
    </w:p>
    <w:p>
      <w:pPr>
        <w:spacing w:after="120"/>
      </w:pPr>
      <w:r>
        <w:rPr>
          <w:b/>
          <w:bCs/>
        </w:rPr>
        <w:t xml:space="preserve">Whitfield Carter LLP</w:t>
      </w:r>
    </w:p>
    <w:p>
      <w:pPr>
        <w:spacing w:after="120"/>
      </w:pPr>
      <w:r>
        <w:rPr>
          <w:i/>
          <w:iCs/>
          <w:sz w:val="18"/>
          <w:szCs w:val="18"/>
        </w:rPr>
        <w:t xml:space="preserve">for and on behalf of Calbryn Therapeutics Limited (as agreed)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4"/>
        <w:szCs w:val="14"/>
      </w:rPr>
      <w:t xml:space="preserve">Whitfield Carter LLP, 22 Bishopsgate, London EC2N 4BQ  |  Confidential and may be legally privileged.  |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b/>
        <w:bCs/>
        <w:color w:val="1F3864"/>
        <w:sz w:val="18"/>
        <w:szCs w:val="18"/>
      </w:rPr>
      <w:t xml:space="preserve">WHITFIELD CARTER LLP</w:t>
    </w:r>
    <w:r>
      <w:rPr>
        <w:color w:val="808080"/>
        <w:sz w:val="16"/>
        <w:szCs w:val="16"/>
      </w:rPr>
      <w:t xml:space="preserve">	Disclosure Letter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lowerLetter"/>
      <w:lvlText w:val="(%1)"/>
      <w:lvlJc w:val="left"/>
      <w:pPr>
        <w:ind w:left="1134" w:hanging="567"/>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2026-06-10T20:08:32.196Z</dcterms:created>
  <dcterms:modified xsi:type="dcterms:W3CDTF">2026-06-10T20:08:32.196Z</dcterms:modified>
</cp:coreProperties>
</file>

<file path=docProps/custom.xml><?xml version="1.0" encoding="utf-8"?>
<Properties xmlns="http://schemas.openxmlformats.org/officeDocument/2006/custom-properties" xmlns:vt="http://schemas.openxmlformats.org/officeDocument/2006/docPropsVTypes"/>
</file>