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VERTEX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Heads of Terms — Patent Licence and Assignment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Strictly private and confidential — subject to contract</w:t>
      </w:r>
    </w:p>
    <w:p>
      <w:pPr>
        <w:spacing w:after="120"/>
      </w:pPr>
      <w:r>
        <w:rPr>
          <w:b/>
          <w:bCs/>
        </w:rPr>
        <w:t xml:space="preserve">Date: 4 July 2025</w:t>
      </w:r>
    </w:p>
    <w:p>
      <w:pPr>
        <w:pStyle w:val="Heading1"/>
      </w:pPr>
      <w:r>
        <w:t xml:space="preserve">Parties</w:t>
      </w:r>
    </w:p>
    <w:p>
      <w:pPr>
        <w:spacing w:after="120"/>
      </w:pPr>
      <w:r>
        <w:t xml:space="preserve">(1)  Calbryn Therapeutics Limited (company number 09142233), whose registered office is at 40 Mortimer Street, London W1W 7RT (the “Licensor”); and</w:t>
      </w:r>
    </w:p>
    <w:p>
      <w:pPr>
        <w:spacing w:after="120"/>
      </w:pPr>
      <w:r>
        <w:t xml:space="preserve">(2)  Hartwell Pharma Limited (company number 07788451), whose registered office is at Hartwell House, 8 Devonshire Square, London EC2M 4PL (the “Licensee”).</w:t>
      </w:r>
    </w:p>
    <w:p>
      <w:pPr>
        <w:spacing w:after="120"/>
      </w:pPr>
      <w:r>
        <w:t xml:space="preserve">These heads of terms record the principal commercial terms on which the parties propose to enter into a patent licence and related assignment in respect of the Licensor’s oncology programme. Save for the clauses headed Exclusivity, Confidentiality and Governing Law, they are not intended to be legally binding.</w:t>
      </w:r>
    </w:p>
    <w:p>
      <w:pPr>
        <w:pStyle w:val="Heading1"/>
      </w:pPr>
      <w:r>
        <w:t xml:space="preserve">Key terms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Outline position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 matter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 exclusive, worldwide licence under the Licensor’s patent portfolio relating to the small-molecule kinase inhibitor CBX-417 (the “Compound”), together with outright assignment of two improvement patent families (the prodrug-ester and sustained-release matrix families).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Human therapeutic uses in oncology, including all solid-tumour and haematological indications.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Territory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Worldwide.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Exclusive (even as to the Licensor) for the Field and Territory, subject to the Licensor’s retained right to conduct internal, non-commercial research.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Upfront fee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£6,000,000, payable within 10 business days of signing.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Up to £24,000,000 in development and regulatory milestones and up to £30,000,000 in sales milestones, as set out in the financial model.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Royalties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Tiered royalties on annual net sales: 6% up to £50m; 9% between £50m and £150m; 12% above £150m. Standard royalty-stacking and generic-entry reductions to be agreed.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Assigned IP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Patent families CBX-VTX-013 and CBX-VTX-014 to be assigned to the Licensee on completion.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Diligence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Licensee to use commercially reasonable efforts to develop and commercialise the Compound, with agreed development milestones.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Warranties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Customary IP warranties from the Licensor (ownership, no known third-party infringement, no encumbrances), subject to a disclosure letter.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Exclusivity period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parties agree to negotiate exclusively until 30 September 2025 (the “Exclusivity Period”). This paragraph is binding.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Costs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Each party bears its own costs.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law</w:t>
            </w:r>
          </w:p>
        </w:tc>
        <w:tc>
          <w:tcPr>
            <w:tcW w:type="dxa" w:w="6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England and Wales; exclusive jurisdiction of the English courts. This paragraph is binding.</w:t>
            </w:r>
          </w:p>
        </w:tc>
      </w:tr>
    </w:tbl>
    <w:p>
      <w:pPr>
        <w:spacing w:before="240"/>
      </w:pPr>
      <w:r>
        <w:rPr>
          <w:b/>
          <w:bCs/>
        </w:rPr>
        <w:t xml:space="preserve">Next steps</w:t>
      </w:r>
    </w:p>
    <w:p>
      <w:pPr>
        <w:spacing w:after="120"/>
      </w:pPr>
      <w:r>
        <w:t xml:space="preserve">Whitfield Carter LLP will circulate a first draft of the Patent Licence Agreement and the Deed of Assignment week commencing 21 July 2025. Hargrove &amp; Associates LLP act for the Licensor.</w:t>
      </w:r>
    </w:p>
    <w:p>
      <w:pPr>
        <w:spacing w:before="360"/>
      </w:pPr>
      <w:r>
        <w:rPr>
          <w:i/>
          <w:iCs/>
        </w:rPr>
        <w:t xml:space="preserve">Agreed for and on behalf of the parties:</w:t>
      </w:r>
    </w:p>
    <w:p>
      <w:pPr>
        <w:spacing w:after="120"/>
      </w:pPr>
      <w:r>
        <w:t xml:space="preserve">
Dr Helena Vance, Chief Executive Officer — Hartwell Pharma Limited</w:t>
      </w:r>
    </w:p>
    <w:p>
      <w:pPr>
        <w:spacing w:after="120"/>
      </w:pPr>
      <w:r>
        <w:t xml:space="preserve">Dr Lukas Brandt, Chief Executive Officer — Calbryn Therapeutics Limited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4"/>
        <w:szCs w:val="14"/>
      </w:rPr>
      <w:t xml:space="preserve">Whitfield Carter LLP, 22 Bishopsgate, London EC2N 4BQ  |  Confidential and may be legally privileged.  |  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WHITFIELD CARTER LLP</w:t>
    </w:r>
    <w:r>
      <w:rPr>
        <w:color w:val="808080"/>
        <w:sz w:val="16"/>
        <w:szCs w:val="16"/>
      </w:rPr>
      <w:t xml:space="preserve">	Project Vertex — Heads of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567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2026-06-10T20:08:32.107Z</dcterms:created>
  <dcterms:modified xsi:type="dcterms:W3CDTF">2026-06-10T20:08:32.107Z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