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spacing w:after="0"/>
        <w:jc w:val="right"/>
      </w:pPr>
      <w:r>
        <w:rPr>
          <w:color w:val="1F3864"/>
          <w:sz w:val="18"/>
          <w:szCs w:val="18"/>
        </w:rPr>
        <w:t xml:space="preserve">Solicitors</w:t>
      </w:r>
    </w:p>
    <w:p>
      <w:pPr>
        <w:spacing w:after="0"/>
        <w:jc w:val="right"/>
      </w:pPr>
      <w:r>
        <w:rPr>
          <w:color w:val="595959"/>
          <w:sz w:val="16"/>
          <w:szCs w:val="16"/>
        </w:rPr>
        <w:t xml:space="preserve">22 Bishopsgate, London EC2N 4BQ</w:t>
      </w:r>
    </w:p>
    <w:p>
      <w:pPr>
        <w:spacing w:after="120"/>
        <w:jc w:val="right"/>
      </w:pPr>
      <w:r>
        <w:rPr>
          <w:color w:val="595959"/>
          <w:sz w:val="16"/>
          <w:szCs w:val="16"/>
        </w:rPr>
        <w:t xml:space="preserve">DX 138760 Cheapside  |  +44 (0)20 7946 0000  |  www.whitfieldcarter.com</w:t>
      </w:r>
    </w:p>
    <w:p>
      <w:pPr>
        <w:pBdr>
          <w:bottom w:val="single" w:color="1F3864" w:sz="8" w:space="1"/>
        </w:pBdr>
        <w:spacing w:after="160"/>
      </w:pPr>
      <w:r>
        <w:t xml:space="preserve"/>
      </w:r>
    </w:p>
    <w:p>
      <w:pPr>
        <w:spacing w:after="60" w:line="276"/>
      </w:pPr>
      <w:r>
        <w:rPr>
          <w:b/>
          <w:bCs/>
        </w:rPr>
        <w:t xml:space="preserve">PRIVILEGED &amp; CONFIDENTIAL – LEGAL ADVICE</w:t>
      </w:r>
    </w:p>
    <w:p>
      <w:pPr>
        <w:spacing w:after="60" w:line="276"/>
      </w:pPr>
      <w:r>
        <w:rPr>
          <w:b/>
          <w:bCs/>
          <w:sz w:val="24"/>
          <w:szCs w:val="24"/>
        </w:rPr>
        <w:t xml:space="preserve">ADVICE NOTE</w:t>
      </w:r>
    </w:p>
    <w:p>
      <w:pPr>
        <w:tabs>
          <w:tab w:val="right" w:pos="9026"/>
        </w:tabs>
        <w:spacing w:after="40"/>
      </w:pPr>
      <w:r>
        <w:t xml:space="preserve">To: Karen Mensah (HR Director), Miriam Cole (CFO), Kingsford Group Limited</w:t>
      </w:r>
      <w:r>
        <w:t xml:space="preserve">	WC-00118</w:t>
      </w:r>
    </w:p>
    <w:p>
      <w:pPr>
        <w:spacing w:after="0" w:line="276"/>
      </w:pPr>
      <w:r>
        <w:t xml:space="preserve">From: Tom Gallagher / Sarah Whitfield, Whitfield Carter LLP</w:t>
      </w:r>
    </w:p>
    <w:p>
      <w:pPr>
        <w:spacing w:after="0" w:line="276"/>
      </w:pPr>
      <w:r>
        <w:t xml:space="preserve">Date: 21 January 2026</w:t>
      </w:r>
    </w:p>
    <w:p>
      <w:pPr>
        <w:spacing w:after="160" w:line="276"/>
      </w:pPr>
      <w:r>
        <w:rPr>
          <w:b/>
          <w:bCs/>
        </w:rPr>
        <w:t xml:space="preserve">Re: Adrian Foxley – assessment of liability, prospects and strategy</w:t>
      </w:r>
    </w:p>
    <w:p>
      <w:pPr>
        <w:pStyle w:val="Heading1"/>
      </w:pPr>
      <w:r>
        <w:t xml:space="preserve">1. Executive summary</w:t>
      </w:r>
    </w:p>
    <w:p>
      <w:pPr>
        <w:spacing w:after="120" w:line="276"/>
      </w:pPr>
      <w:r>
        <w:t xml:space="preserve">1.1  We have reviewed the grievance correspondence, Mr Foxley’s personnel file, the disciplinary and dismissal documentation, and the Acas early conciliation notification (reference R123456/26/01). This note sets out our assessment of the Company’s exposure and our recommended strategy.</w:t>
      </w:r>
    </w:p>
    <w:p>
      <w:pPr>
        <w:spacing w:after="120" w:line="276"/>
      </w:pPr>
      <w:r>
        <w:t xml:space="preserve">1.2  In short: the “ordinary” unfair dismissal claim is defensible but not without risk, principally because of procedural shortcomings in the dismissal process. The more serious exposure is the protected disclosure (whistleblowing) claim, which, if it succeeds, removes the statutory cap on the compensatory award and adds an award for injury to feelings. On balance we consider an early, well-structured settlement to be in the Company’s commercial interests, and we recommend opening without-prejudice discussions following service of any ET1.</w:t>
      </w:r>
    </w:p>
    <w:p>
      <w:pPr>
        <w:pStyle w:val="Heading1"/>
      </w:pPr>
      <w:r>
        <w:t xml:space="preserve">2. Background</w:t>
      </w:r>
    </w:p>
    <w:p>
      <w:pPr>
        <w:spacing w:after="120" w:line="276"/>
      </w:pPr>
      <w:r>
        <w:t xml:space="preserve">2.1  Mr Foxley was employed as Group Operations Director from 4 September 2019 until his summary dismissal on 19 December 2025 (6 complete years’ service). His gross salary was £178,000 with a 10% employer pension contribution, a car allowance and private medical insurance, and a discretionary bonus averaging approximately £42,000 over the last three years.</w:t>
      </w:r>
    </w:p>
    <w:p>
      <w:pPr>
        <w:spacing w:after="120" w:line="276"/>
      </w:pPr>
      <w:r>
        <w:t xml:space="preserve">2.2  Between September and November 2025 Mr Foxley raised a series of internal concerns about health-and-safety practices and maintenance backlogs at certain Brampton Leisure clubs (the health-and-fitness business the Group acquired in January 2026 under Project Atlas, matter WC-00112). He alleges these were qualifying protected disclosures. The Company’s position is that the concerns were addressed through the ordinary operational channels and that Mr Foxley’s dismissal was wholly unconnected, arising from a genuine restructuring of the operations function and from documented performance concerns.</w:t>
      </w:r>
    </w:p>
    <w:p>
      <w:pPr>
        <w:pStyle w:val="Heading1"/>
      </w:pPr>
      <w:r>
        <w:t xml:space="preserve">3. Unfair dismissal – liability</w:t>
      </w:r>
    </w:p>
    <w:p>
      <w:pPr>
        <w:spacing w:after="120" w:line="276"/>
      </w:pPr>
      <w:r>
        <w:t xml:space="preserve">3.1  Mr Foxley has the qualifying service for an ordinary unfair dismissal claim. The Company must show a potentially fair reason (it relies on redundancy/reorganisation and, in the alternative, capability) and that it acted reasonably.</w:t>
      </w:r>
    </w:p>
    <w:p>
      <w:pPr>
        <w:spacing w:after="120" w:line="276"/>
      </w:pPr>
      <w:r>
        <w:t xml:space="preserve">3.2  The principal weakness is process. The contemporaneous documents suggest that the decision to remove the role had effectively been taken before any consultation, that the pool was limited to Mr Foxley alone without a clear rationale, and that the appeal was heard by a manager who had been involved in the original decision. A tribunal may well find the dismissal procedurally unfair, although Polkey and contributory-conduct arguments may reduce any compensatory award.</w:t>
      </w:r>
    </w:p>
    <w:p>
      <w:pPr>
        <w:pStyle w:val="Heading1"/>
      </w:pPr>
      <w:r>
        <w:t xml:space="preserve">4. Protected disclosure / detriment – liability</w:t>
      </w:r>
    </w:p>
    <w:p>
      <w:pPr>
        <w:spacing w:after="120" w:line="276"/>
      </w:pPr>
      <w:r>
        <w:t xml:space="preserve">4.1  This is the area of greatest risk. If Mr Foxley establishes that he made one or more qualifying disclosures in the public interest, and that the dismissal was because of those disclosures, the dismissal is automatically unfair under s.103A ERA 1996, no qualifying period is required, and the compensatory award is uncapped. He also claims detriment under s.47B.</w:t>
      </w:r>
    </w:p>
    <w:p>
      <w:pPr>
        <w:spacing w:after="120" w:line="276"/>
      </w:pPr>
      <w:r>
        <w:t xml:space="preserve">4.2  The timing is unhelpful: the disclosures (September–November 2025) precede the dismissal (December 2025) closely, which is the kind of chronology tribunals scrutinise. The Company will need to show, with credible contemporaneous evidence, that the reorganisation rationale existed independently and predated the disclosures. The board papers from August 2025 are helpful in this respect and should be preserved.</w:t>
      </w:r>
    </w:p>
    <w:p>
      <w:pPr>
        <w:pStyle w:val="Heading1"/>
      </w:pPr>
      <w:r>
        <w:t xml:space="preserve">5. Quantum</w:t>
      </w:r>
    </w:p>
    <w:p>
      <w:pPr>
        <w:spacing w:after="120" w:line="276"/>
      </w:pPr>
      <w:r>
        <w:t xml:space="preserve">5.1  Mr Foxley’s solicitors (Ashworth Quinn LLP) have not yet served a formal schedule of loss, but on the figures above a realistic exposure on the ordinary claim is in the region of £115,000–£160,000 (before any Polkey/contribution reduction and before the statutory cap of 52 weeks’ pay or the prescribed maximum). If the whistleblowing claim succeeds the cap falls away and an injury-to-feelings award (Vento middle band, £10,000–£30,000) would be added, taking the realistic exposure towards £185,000–£220,000 plus the irrecoverable costs of a multi-day hearing.</w:t>
      </w:r>
    </w:p>
    <w:p>
      <w:pPr>
        <w:spacing w:after="120" w:line="276"/>
      </w:pPr>
      <w:r>
        <w:t xml:space="preserve">5.2  We will prepare our own counter-schedule once the claimant’s schedule is served and will pressure-test each head, in particular the mitigation assumptions and the claimed ACAS uplift.</w:t>
      </w:r>
    </w:p>
    <w:p>
      <w:pPr>
        <w:pStyle w:val="Heading1"/>
      </w:pPr>
      <w:r>
        <w:t xml:space="preserve">6. Strategy and recommendation</w:t>
      </w:r>
    </w:p>
    <w:p>
      <w:pPr>
        <w:pStyle w:val="ListParagraph"/>
        <w:numPr>
          <w:ilvl w:val="0"/>
          <w:numId w:val="2"/>
        </w:numPr>
        <w:spacing w:after="80"/>
      </w:pPr>
      <w:r>
        <w:t xml:space="preserve">Preserve all relevant documents now and issue a litigation-hold notice (we have prepared a draft).</w:t>
      </w:r>
    </w:p>
    <w:p>
      <w:pPr>
        <w:pStyle w:val="ListParagraph"/>
        <w:numPr>
          <w:ilvl w:val="0"/>
          <w:numId w:val="2"/>
        </w:numPr>
        <w:spacing w:after="80"/>
      </w:pPr>
      <w:r>
        <w:t xml:space="preserve">File a robust ET3 response in due course, putting the claimant to proof on the disclosure and causation elements.</w:t>
      </w:r>
    </w:p>
    <w:p>
      <w:pPr>
        <w:pStyle w:val="ListParagraph"/>
        <w:numPr>
          <w:ilvl w:val="0"/>
          <w:numId w:val="2"/>
        </w:numPr>
        <w:spacing w:after="80"/>
      </w:pPr>
      <w:r>
        <w:t xml:space="preserve">Open without-prejudice settlement discussions early. A settlement in the region of £150,000–£185,000 (inclusive) is likely to represent good value compared with the cost and risk of a contested hearing, particularly given the uncapped whistleblowing exposure and the reputational sensitivity around the Brampton clubs.</w:t>
      </w:r>
    </w:p>
    <w:p>
      <w:pPr>
        <w:pStyle w:val="ListParagraph"/>
        <w:numPr>
          <w:ilvl w:val="0"/>
          <w:numId w:val="2"/>
        </w:numPr>
        <w:spacing w:after="80"/>
      </w:pPr>
      <w:r>
        <w:t xml:space="preserve">Document any settlement in a statutory settlement agreement compliant with s.203 ERA 1996, with the claimant taking independent legal advice.</w:t>
      </w:r>
    </w:p>
    <w:p>
      <w:pPr>
        <w:spacing w:after="160" w:line="276"/>
      </w:pPr>
      <w:r>
        <w:t xml:space="preserve">6.1  This advice is provisional and based on the documents available to date. We would be happy to discuss it on a call. Please treat this note as privileged and confidential and do not circulate it beyond the individuals named above.</w:t>
      </w:r>
    </w:p>
    <w:p>
      <w:pPr>
        <w:spacing w:after="0" w:line="276"/>
      </w:pPr>
      <w:r>
        <w:rPr>
          <w:b/>
          <w:bCs/>
        </w:rPr>
        <w:t xml:space="preserve">Tom Gallagher</w:t>
      </w:r>
    </w:p>
    <w:p>
      <w:pPr>
        <w:spacing w:after="0" w:line="276"/>
      </w:pPr>
      <w:r>
        <w:t xml:space="preserve">Associate, Whitfield Carter LLP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pPr>
    <w:r>
      <w:rPr>
        <w:color w:val="808080"/>
        <w:sz w:val="13"/>
        <w:szCs w:val="13"/>
      </w:rPr>
      <w:t xml:space="preserve">Whitfield Carter LLP is a limited liability partnership registered in England &amp; Wales (OC# 388214). Authorised and regulated by the Solicitors Regulation Authority.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2026-06-25T13:59:51.805Z</dcterms:created>
  <dcterms:modified xsi:type="dcterms:W3CDTF">2026-06-25T13:59:51.805Z</dcterms:modified>
</cp:coreProperties>
</file>

<file path=docProps/custom.xml><?xml version="1.0" encoding="utf-8"?>
<Properties xmlns="http://schemas.openxmlformats.org/officeDocument/2006/custom-properties" xmlns:vt="http://schemas.openxmlformats.org/officeDocument/2006/docPropsVTypes"/>
</file>