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</w:pPr>
      <w:r>
        <w:rPr>
          <w:b/>
          <w:bCs/>
        </w:rPr>
        <w:t xml:space="preserve">PRIVILEGED &amp; CONFIDENTIAL</w:t>
      </w:r>
    </w:p>
    <w:p>
      <w:pPr>
        <w:spacing w:after="40"/>
      </w:pPr>
      <w:r>
        <w:rPr>
          <w:b/>
          <w:bCs/>
          <w:sz w:val="26"/>
          <w:szCs w:val="26"/>
        </w:rPr>
        <w:t xml:space="preserve">Foxley v Kingsford Group Limited — Chronology</w:t>
      </w:r>
    </w:p>
    <w:p>
      <w:pPr>
        <w:spacing w:after="160" w:line="276"/>
      </w:pPr>
      <w:r>
        <w:rPr>
          <w:i/>
          <w:iCs/>
          <w:sz w:val="18"/>
          <w:szCs w:val="18"/>
        </w:rPr>
        <w:t xml:space="preserve">ET Case No. 2206543/2026  |  WC-00118  |  Prepared by Whitfield Carter LLP, updated 12 May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Sep 2019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Adrian Foxley commences employment as Group Operations Director.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 Aug 2025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Board considers reorganisation of group operations function (board papers).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 Sep 2025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Foxley emails CEO raising concerns about maintenance backlog at two Brampton Leisure clubs.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 Oct 2025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Further email from Foxley re fire-door and pool-plant inspection records.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 Nov 2025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Foxley raises formal grievance alleging concerns ignored.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Dec 2025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First redundancy consultation meeting with Foxley.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 Dec 2025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Second consultation meeting.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 Dec 2025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Third/final consultation meeting; outcome confirmed.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 Dec 2025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Foxley dismissed by reason of redundancy; appeal offered.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Jan 2026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Kingsford instructs Whitfield Carter LLP (engagement letter).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 Jan 2026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Acas early conciliation notification received (R123456/26/01).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 Jan 2026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Whitfield Carter advice note on prospects issued.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Feb 2026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Acas EC certificate issued; ET1 presented by claimant.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 Feb 2026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ET3 Grounds of Resistance filed.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 Mar 2026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Claimant's Schedule of Loss served (£161,368 + uncapped PD claim).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 Apr 2026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Respondent's without-prejudice offer of £150,000.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 Apr 2026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Mediation; settlement agreed in principle at £185,000 inclusive.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 May 2026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Settlement agreement v1 circulated.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 May 2026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Settlement agreement executed; claim withdrawn.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spacing w:before="60"/>
    </w:pPr>
    <w:r>
      <w:rPr>
        <w:color w:val="808080"/>
        <w:sz w:val="13"/>
        <w:szCs w:val="13"/>
      </w:rPr>
      <w:t xml:space="preserve">Whitfield Carter LLP is a limited liability partnership registered in England &amp; Wales (OC# 388214). Authorised and regulated by the Solicitors Regulation Authority. Confidential and may be legally privileged.</w:t>
    </w:r>
  </w:p>
  <w:p>
    <w:pPr>
      <w:jc w:val="right"/>
    </w:pPr>
    <w:r>
      <w:rPr>
        <w:color w:val="808080"/>
        <w:sz w:val="14"/>
        <w:szCs w:val="14"/>
      </w:rPr>
      <w:t xml:space="preserve">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2026-06-25T13:59:51.847Z</dcterms:created>
  <dcterms:modified xsi:type="dcterms:W3CDTF">2026-06-25T13:59:51.847Z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