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IN THE EMPLOYMENT TRIBUNAL</w:t>
      </w:r>
    </w:p>
    <w:p>
      <w:pPr>
        <w:spacing w:after="40"/>
        <w:jc w:val="center"/>
      </w:pPr>
      <w:r>
        <w:rPr>
          <w:sz w:val="20"/>
          <w:szCs w:val="20"/>
        </w:rPr>
        <w:t xml:space="preserve">LONDON CENTRAL</w:t>
      </w:r>
    </w:p>
    <w:p>
      <w:pPr>
        <w:spacing w:after="160"/>
        <w:jc w:val="center"/>
      </w:pPr>
      <w:r>
        <w:rPr>
          <w:b/>
          <w:bCs/>
          <w:sz w:val="20"/>
          <w:szCs w:val="20"/>
        </w:rPr>
        <w:t xml:space="preserve">Case No. 2206543/2026</w:t>
      </w:r>
    </w:p>
    <w:p>
      <w:pPr>
        <w:spacing w:after="20"/>
        <w:jc w:val="center"/>
      </w:pPr>
      <w:r>
        <w:rPr>
          <w:sz w:val="18"/>
          <w:szCs w:val="18"/>
        </w:rPr>
        <w:t xml:space="preserve">BETWEEN</w:t>
      </w:r>
    </w:p>
    <w:p>
      <w:pPr>
        <w:spacing w:after="20"/>
        <w:jc w:val="center"/>
      </w:pPr>
      <w:r>
        <w:rPr>
          <w:b/>
          <w:bCs/>
        </w:rPr>
        <w:t xml:space="preserve">MR ADRIAN FOXLEY</w:t>
      </w:r>
    </w:p>
    <w:p>
      <w:pPr>
        <w:spacing w:after="20"/>
        <w:jc w:val="center"/>
      </w:pPr>
      <w:r>
        <w:rPr>
          <w:i/>
          <w:iCs/>
        </w:rPr>
        <w:t xml:space="preserve">Claimant</w:t>
      </w:r>
    </w:p>
    <w:p>
      <w:pPr>
        <w:spacing w:after="20"/>
        <w:jc w:val="center"/>
      </w:pPr>
      <w:r>
        <w:t xml:space="preserve">– and –</w:t>
      </w:r>
    </w:p>
    <w:p>
      <w:pPr>
        <w:spacing w:after="20"/>
        <w:jc w:val="center"/>
      </w:pPr>
      <w:r>
        <w:rPr>
          <w:b/>
          <w:bCs/>
        </w:rPr>
        <w:t xml:space="preserve">KINGSFORD GROUP LIMITED</w:t>
      </w:r>
    </w:p>
    <w:p>
      <w:pPr>
        <w:spacing w:after="200"/>
        <w:jc w:val="center"/>
      </w:pPr>
      <w:r>
        <w:rPr>
          <w:i/>
          <w:iCs/>
        </w:rPr>
        <w:t xml:space="preserve">Respondent</w:t>
      </w:r>
    </w:p>
    <w:p>
      <w:pPr>
        <w:pBdr>
          <w:top w:val="single" w:color="000000" w:sz="6" w:space="1"/>
          <w:bottom w:val="single" w:color="000000" w:sz="6" w:space="1"/>
        </w:pBdr>
        <w:spacing w:after="200" w:before="120"/>
        <w:jc w:val="center"/>
      </w:pPr>
      <w:r>
        <w:rPr>
          <w:b/>
          <w:bCs/>
          <w:sz w:val="24"/>
          <w:szCs w:val="24"/>
        </w:rPr>
        <w:t xml:space="preserve">GROUNDS OF RESISTANCE (ET3)</w:t>
      </w:r>
    </w:p>
    <w:p>
      <w:pPr>
        <w:pStyle w:val="Heading2"/>
      </w:pPr>
      <w:r>
        <w:t xml:space="preserve">Introduction</w:t>
      </w:r>
    </w:p>
    <w:p>
      <w:pPr>
        <w:spacing w:after="120" w:line="276"/>
        <w:ind w:left="567" w:hanging="567"/>
      </w:pPr>
      <w:r>
        <w:t xml:space="preserve">1.	</w:t>
      </w:r>
      <w:r>
        <w:t xml:space="preserve">The Respondent is a holding company operating leisure and consumer businesses. The Claimant was employed as Group Operations Director from 4 September 2019 until his dismissal on 19 December 2025. Save where expressly admitted, each allegation in the Claimant’s claim is denied and the Claimant is put to strict proof.</w:t>
      </w:r>
    </w:p>
    <w:p>
      <w:pPr>
        <w:pStyle w:val="Heading2"/>
      </w:pPr>
      <w:r>
        <w:t xml:space="preserve">The reason for dismissal</w:t>
      </w:r>
    </w:p>
    <w:p>
      <w:pPr>
        <w:spacing w:after="120" w:line="276"/>
        <w:ind w:left="567" w:hanging="567"/>
      </w:pPr>
      <w:r>
        <w:t xml:space="preserve">2.	</w:t>
      </w:r>
      <w:r>
        <w:t xml:space="preserve">The Claimant was dismissed by reason of redundancy following a genuine reorganisation of the Respondent’s group operations function, alternatively by reason of capability. The decision to restructure the operations function and to remove the standalone Group Operations Director role was taken by the board for sound commercial reasons that pre-dated and were wholly unconnected with any matter relied on by the Claimant as a protected disclosure.</w:t>
      </w:r>
    </w:p>
    <w:p>
      <w:pPr>
        <w:spacing w:after="120" w:line="276"/>
        <w:ind w:left="567" w:hanging="567"/>
      </w:pPr>
      <w:r>
        <w:t xml:space="preserve">3.	</w:t>
      </w:r>
      <w:r>
        <w:t xml:space="preserve">The board’s consideration of the restructuring is evidenced in board papers dated 14 August 2025, before any of the communications now characterised by the Claimant as protected disclosures. The reorganisation followed the integration of the Brampton Leisure business and the consequent duplication of operational management.</w:t>
      </w:r>
    </w:p>
    <w:p>
      <w:pPr>
        <w:pStyle w:val="Heading2"/>
      </w:pPr>
      <w:r>
        <w:t xml:space="preserve">Protected disclosures denied</w:t>
      </w:r>
    </w:p>
    <w:p>
      <w:pPr>
        <w:spacing w:after="120" w:line="276"/>
        <w:ind w:left="567" w:hanging="567"/>
      </w:pPr>
      <w:r>
        <w:t xml:space="preserve">4.	</w:t>
      </w:r>
      <w:r>
        <w:t xml:space="preserve">It is denied that the Claimant made any qualifying protected disclosure within the meaning of section 43B of the Employment Rights Act 1996. The communications relied on were ordinary operational reports made in the course of the Claimant’s management responsibilities and did not, in the reasonable belief of the Claimant, tend to show any relevant failure, nor were they made in the public interest.</w:t>
      </w:r>
    </w:p>
    <w:p>
      <w:pPr>
        <w:spacing w:after="120" w:line="276"/>
        <w:ind w:left="567" w:hanging="567"/>
      </w:pPr>
      <w:r>
        <w:t xml:space="preserve">5.	</w:t>
      </w:r>
      <w:r>
        <w:t xml:space="preserve">If and to the extent any such communication amounted to a protected disclosure (which is denied), it is denied that the disclosure was the reason or principal reason for the Claimant’s dismissal or that the Claimant was subjected to any detriment on that ground. The dismissal was for the reason set out at paragraph 2 above.</w:t>
      </w:r>
    </w:p>
    <w:p>
      <w:pPr>
        <w:pStyle w:val="Heading2"/>
      </w:pPr>
      <w:r>
        <w:t xml:space="preserve">Fairness of the dismissal</w:t>
      </w:r>
    </w:p>
    <w:p>
      <w:pPr>
        <w:spacing w:after="120" w:line="276"/>
        <w:ind w:left="567" w:hanging="567"/>
      </w:pPr>
      <w:r>
        <w:t xml:space="preserve">6.	</w:t>
      </w:r>
      <w:r>
        <w:t xml:space="preserve">The Respondent acted reasonably in treating redundancy (alternatively capability) as a sufficient reason for dismissal and followed a fair procedure, including consultation with the Claimant on 1, 8 and 15 December 2025 and the provision of an appeal which the Claimant declined to attend. The dismissal was fair within the meaning of section 98 of the Employment Rights Act 1996.</w:t>
      </w:r>
    </w:p>
    <w:p>
      <w:pPr>
        <w:spacing w:after="120" w:line="276"/>
        <w:ind w:left="567" w:hanging="567"/>
      </w:pPr>
      <w:r>
        <w:t xml:space="preserve">7.	</w:t>
      </w:r>
      <w:r>
        <w:t xml:space="preserve">Further or alternatively, if the dismissal is found to have been procedurally unfair (which is denied), the Respondent will contend that the Claimant would have been fairly dismissed in any event and that any compensatory award should be reduced accordingly (Polkey v A E Dayton Services Ltd).</w:t>
      </w:r>
    </w:p>
    <w:p>
      <w:pPr>
        <w:pStyle w:val="Heading2"/>
      </w:pPr>
      <w:r>
        <w:t xml:space="preserve">Remedy and mitigation</w:t>
      </w:r>
    </w:p>
    <w:p>
      <w:pPr>
        <w:spacing w:after="120" w:line="276"/>
        <w:ind w:left="567" w:hanging="567"/>
      </w:pPr>
      <w:r>
        <w:t xml:space="preserve">8.	</w:t>
      </w:r>
      <w:r>
        <w:t xml:space="preserve">The amount and heads of the Claimant’s alleged loss are not admitted and the Claimant is put to proof of his loss and of his attempts to mitigate it. The Respondent will contend that the Claimant has not taken reasonable steps to mitigate his loss and that any award should be reduced accordingly. It is denied that the Claimant is entitled to any uplift under the Acas Code of Practice.</w:t>
      </w:r>
    </w:p>
    <w:p>
      <w:pPr>
        <w:spacing w:after="120" w:line="276"/>
        <w:ind w:left="567" w:hanging="567"/>
      </w:pPr>
      <w:r>
        <w:t xml:space="preserve">9.	</w:t>
      </w:r>
      <w:r>
        <w:t xml:space="preserve">In the premises the Respondent invites the Tribunal to dismiss the claim in its entirety.</w:t>
      </w:r>
    </w:p>
    <w:p>
      <w:pPr>
        <w:spacing w:after="40" w:before="240"/>
      </w:pPr>
      <w:r>
        <w:rPr>
          <w:b/>
          <w:bCs/>
        </w:rPr>
        <w:t xml:space="preserve">Statement of Truth</w:t>
      </w:r>
    </w:p>
    <w:p>
      <w:pPr>
        <w:spacing w:after="120" w:line="276"/>
      </w:pPr>
      <w:r>
        <w:t xml:space="preserve">I believe that the facts stated in these Grounds of Resistance are true. I understand that proceedings for contempt of court may be brought against anyone who makes, or causes to be made, a false statement in a document verified by a statement of truth without an honest belief in its truth.</w:t>
      </w:r>
    </w:p>
    <w:p>
      <w:pPr>
        <w:spacing w:after="0" w:line="276"/>
      </w:pPr>
      <w:r>
        <w:t xml:space="preserve">Signed: ………………………………  (Tom Gallagher, Whitfield Carter LLP, solicitors for the Respondent)</w:t>
      </w:r>
    </w:p>
    <w:p>
      <w:pPr>
        <w:spacing w:after="0" w:line="276"/>
      </w:pPr>
      <w:r>
        <w:t xml:space="preserve">Dated: 18 February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2026-06-25T13:59:51.814Z</dcterms:created>
  <dcterms:modified xsi:type="dcterms:W3CDTF">2026-06-25T13:59:51.814Z</dcterms:modified>
</cp:coreProperties>
</file>

<file path=docProps/custom.xml><?xml version="1.0" encoding="utf-8"?>
<Properties xmlns="http://schemas.openxmlformats.org/officeDocument/2006/custom-properties" xmlns:vt="http://schemas.openxmlformats.org/officeDocument/2006/docPropsVTypes"/>
</file>