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28"/>
          <w:szCs w:val="28"/>
        </w:rPr>
        <w:t xml:space="preserve">Whitfield Carter LLP</w:t>
      </w:r>
    </w:p>
    <w:p>
      <w:pPr>
        <w:spacing w:after="0"/>
        <w:jc w:val="right"/>
      </w:pPr>
      <w:r>
        <w:rPr>
          <w:color w:val="1F3864"/>
          <w:sz w:val="18"/>
          <w:szCs w:val="18"/>
        </w:rPr>
        <w:t xml:space="preserve">Solicitors</w:t>
      </w:r>
    </w:p>
    <w:p>
      <w:pPr>
        <w:spacing w:after="0"/>
        <w:jc w:val="right"/>
      </w:pPr>
      <w:r>
        <w:rPr>
          <w:color w:val="595959"/>
          <w:sz w:val="16"/>
          <w:szCs w:val="16"/>
        </w:rPr>
        <w:t xml:space="preserve">22 Bishopsgate, London EC2N 4BQ</w:t>
      </w:r>
    </w:p>
    <w:p>
      <w:pPr>
        <w:spacing w:after="120"/>
        <w:jc w:val="right"/>
      </w:pPr>
      <w:r>
        <w:rPr>
          <w:color w:val="595959"/>
          <w:sz w:val="16"/>
          <w:szCs w:val="16"/>
        </w:rPr>
        <w:t xml:space="preserve">DX 138760 Cheapside  |  +44 (0)20 7946 0000  |  www.whitfieldcarter.com</w:t>
      </w:r>
    </w:p>
    <w:p>
      <w:pPr>
        <w:pBdr>
          <w:bottom w:val="single" w:color="1F3864" w:sz="8" w:space="1"/>
        </w:pBdr>
        <w:spacing w:after="160"/>
      </w:pPr>
      <w:r>
        <w:t xml:space="preserve"/>
      </w:r>
    </w:p>
    <w:p>
      <w:pPr>
        <w:spacing w:after="60" w:line="276"/>
      </w:pPr>
      <w:r>
        <w:rPr>
          <w:b/>
          <w:bCs/>
        </w:rPr>
        <w:t xml:space="preserve">Strictly private and confidential</w:t>
      </w:r>
    </w:p>
    <w:p>
      <w:pPr>
        <w:spacing w:after="0" w:line="276"/>
      </w:pPr>
      <w:r>
        <w:t xml:space="preserve">Ms Karen Mensah</w:t>
      </w:r>
    </w:p>
    <w:p>
      <w:pPr>
        <w:spacing w:after="0" w:line="276"/>
      </w:pPr>
      <w:r>
        <w:t xml:space="preserve">HR Director</w:t>
      </w:r>
    </w:p>
    <w:p>
      <w:pPr>
        <w:spacing w:after="0" w:line="276"/>
      </w:pPr>
      <w:r>
        <w:t xml:space="preserve">Kingsford Group Limited</w:t>
      </w:r>
    </w:p>
    <w:p>
      <w:pPr>
        <w:spacing w:after="160" w:line="276"/>
      </w:pPr>
      <w:r>
        <w:t xml:space="preserve">Kingsford House, 80 Cannon Street, London EC4N 6HL</w:t>
      </w:r>
    </w:p>
    <w:p>
      <w:pPr>
        <w:tabs>
          <w:tab w:val="right" w:pos="9026"/>
        </w:tabs>
        <w:spacing w:after="160"/>
      </w:pPr>
      <w:r>
        <w:t xml:space="preserve">Our ref: SW/EM/WC-00118</w:t>
      </w:r>
      <w:r>
        <w:t xml:space="preserve">	6 January 2026</w:t>
      </w:r>
    </w:p>
    <w:p>
      <w:pPr>
        <w:spacing w:after="120" w:line="276"/>
      </w:pPr>
      <w:r>
        <w:t xml:space="preserve">Dear Karen</w:t>
      </w:r>
    </w:p>
    <w:p>
      <w:pPr>
        <w:spacing w:after="160" w:line="276"/>
      </w:pPr>
      <w:r>
        <w:rPr>
          <w:b/>
          <w:bCs/>
        </w:rPr>
        <w:t xml:space="preserve">Re: Adrian Foxley – potential Employment Tribunal claim (engagement and terms of business)</w:t>
      </w:r>
    </w:p>
    <w:p>
      <w:pPr>
        <w:spacing w:after="120" w:line="276"/>
      </w:pPr>
      <w:r>
        <w:t xml:space="preserve">Thank you for instructing Whitfield Carter LLP in connection with the above matter. This letter, together with our enclosed standard Terms of Business, sets out the basis on which we will act for Kingsford Group Limited (the “Company”, “you”). Please read it carefully and return a signed copy to confirm your acceptance.</w:t>
      </w:r>
    </w:p>
    <w:p>
      <w:pPr>
        <w:pStyle w:val="Heading2"/>
      </w:pPr>
      <w:r>
        <w:t xml:space="preserve">1. Scope of our engagement</w:t>
      </w:r>
    </w:p>
    <w:p>
      <w:pPr>
        <w:spacing w:after="120" w:line="276"/>
      </w:pPr>
      <w:r>
        <w:t xml:space="preserve">We are instructed to advise the Company in relation to the grievance raised by Mr Adrian Foxley, the Company’s former Group Operations Director, the circumstances of the termination of his employment on 19 December 2025, and the early conciliation notification received from Acas. Our advice will cover the merits of any prospective claim for unfair dismissal and for detriment and automatic unfair dismissal arising from alleged protected disclosures under Part IVA of the Employment Rights Act 1996, and the negotiation and documentation of any settlement.</w:t>
      </w:r>
    </w:p>
    <w:p>
      <w:pPr>
        <w:spacing w:after="120" w:line="276"/>
      </w:pPr>
      <w:r>
        <w:t xml:space="preserve">This engagement does not extend to advice on the Company’s wider HR policies, to any matter concerning other employees, or to tax advice, unless separately agreed in writing.</w:t>
      </w:r>
    </w:p>
    <w:p>
      <w:pPr>
        <w:pStyle w:val="Heading2"/>
      </w:pPr>
      <w:r>
        <w:t xml:space="preserve">2. People responsible for your work</w:t>
      </w:r>
    </w:p>
    <w:p>
      <w:pPr>
        <w:spacing w:after="120" w:line="276"/>
      </w:pPr>
      <w:r>
        <w:t xml:space="preserve">The partner with overall responsibility for this matter is Sarah Whitfield. The day-to-day conduct of the matter will be handled by Tom Gallagher (Associate), supported by Elena Marchetti (Associate). You may contact any of us at the details above.</w:t>
      </w:r>
    </w:p>
    <w:p>
      <w:pPr>
        <w:pStyle w:val="Heading2"/>
      </w:pPr>
      <w:r>
        <w:t xml:space="preserve">3. Our fees and disbursements</w:t>
      </w:r>
    </w:p>
    <w:p>
      <w:pPr>
        <w:spacing w:after="120" w:line="276"/>
      </w:pPr>
      <w:r>
        <w:t xml:space="preserve">Our fees are based on the time we spend on your matter, charged at the hourly rates set out below (exclusive of VAT, currently charged at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20"/>
                <w:szCs w:val="20"/>
              </w:rPr>
              <w:t xml:space="preserve">Fee earner / grade</w:t>
            </w:r>
          </w:p>
        </w:tc>
        <w:tc>
          <w:tcPr>
            <w:tcW w:type="dxa" w:w="4513"/>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b/>
                <w:bCs/>
                <w:color w:val="FFFFFF"/>
                <w:sz w:val="20"/>
                <w:szCs w:val="20"/>
              </w:rPr>
              <w:t xml:space="preserve">Hourly rate (excl. VAT)</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20"/>
                <w:szCs w:val="20"/>
              </w:rPr>
              <w:t xml:space="preserve">Sarah Whitfield – Partner</w:t>
            </w:r>
          </w:p>
        </w:tc>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20"/>
                <w:szCs w:val="20"/>
              </w:rPr>
              <w:t xml:space="preserve">£595</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20"/>
                <w:szCs w:val="20"/>
              </w:rPr>
              <w:t xml:space="preserve">Tom Gallagher – Associate</w:t>
            </w:r>
          </w:p>
        </w:tc>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20"/>
                <w:szCs w:val="20"/>
              </w:rPr>
              <w:t xml:space="preserve">£375</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20"/>
                <w:szCs w:val="20"/>
              </w:rPr>
              <w:t xml:space="preserve">Elena Marchetti – Associate</w:t>
            </w:r>
          </w:p>
        </w:tc>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20"/>
                <w:szCs w:val="20"/>
              </w:rPr>
              <w:t xml:space="preserve">£330</w:t>
            </w:r>
          </w:p>
        </w:tc>
      </w:tr>
      <w:tr>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20"/>
                <w:szCs w:val="20"/>
              </w:rPr>
              <w:t xml:space="preserve">Trainee / paralegal</w:t>
            </w:r>
          </w:p>
        </w:tc>
        <w:tc>
          <w:tcPr>
            <w:tcW w:type="dxa" w:w="4513"/>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color w:val="000000"/>
                <w:sz w:val="20"/>
                <w:szCs w:val="20"/>
              </w:rPr>
              <w:t xml:space="preserve">£185</w:t>
            </w:r>
          </w:p>
        </w:tc>
      </w:tr>
    </w:tbl>
    <w:p>
      <w:pPr>
        <w:spacing w:after="80" w:line="276"/>
      </w:pPr>
      <w:r>
        <w:t xml:space="preserve"/>
      </w:r>
    </w:p>
    <w:p>
      <w:pPr>
        <w:spacing w:after="120" w:line="276"/>
      </w:pPr>
      <w:r>
        <w:t xml:space="preserve">On the information presently available, we estimate our total fees for advising on the grievance, the Acas early conciliation process and the negotiation of a settlement (if achievable) to be in the region of £30,000 to £40,000 plus VAT and disbursements. Should the matter proceed to a contested final hearing, our fees would be materially higher and we would provide a revised estimate. We will keep you informed if it appears our estimate is likely to be exceeded.</w:t>
      </w:r>
    </w:p>
    <w:p>
      <w:pPr>
        <w:pStyle w:val="Heading2"/>
      </w:pPr>
      <w:r>
        <w:t xml:space="preserve">4. Billing arrangements</w:t>
      </w:r>
    </w:p>
    <w:p>
      <w:pPr>
        <w:spacing w:after="120" w:line="276"/>
      </w:pPr>
      <w:r>
        <w:t xml:space="preserve">We will deliver interim invoices monthly. Invoices are payable within 14 days of delivery. We may require a payment on account of £7,500, which will be held in our client account and applied against future invoices.</w:t>
      </w:r>
    </w:p>
    <w:p>
      <w:pPr>
        <w:pStyle w:val="Heading2"/>
      </w:pPr>
      <w:r>
        <w:t xml:space="preserve">5. Confidentiality, data protection and conflicts</w:t>
      </w:r>
    </w:p>
    <w:p>
      <w:pPr>
        <w:spacing w:after="120" w:line="276"/>
      </w:pPr>
      <w:r>
        <w:t xml:space="preserve">We will keep your affairs confidential, subject to our professional and legal obligations. We have carried out a conflict check and are not aware of any conflict of interest preventing us from acting. We will process personal data in accordance with the UK GDPR and our Privacy Notice.</w:t>
      </w:r>
    </w:p>
    <w:p>
      <w:pPr>
        <w:pStyle w:val="Heading2"/>
      </w:pPr>
      <w:r>
        <w:t xml:space="preserve">6. Complaints</w:t>
      </w:r>
    </w:p>
    <w:p>
      <w:pPr>
        <w:spacing w:after="120" w:line="276"/>
      </w:pPr>
      <w:r>
        <w:t xml:space="preserve">We are committed to providing a high-quality service. If you are unhappy with any aspect of our service or our charges, please raise it with Sarah Whitfield in the first instance. You may also be entitled to complain to the Legal Ombudsman.</w:t>
      </w:r>
    </w:p>
    <w:p>
      <w:pPr>
        <w:pStyle w:val="Heading2"/>
      </w:pPr>
      <w:r>
        <w:t xml:space="preserve">7. Acceptance</w:t>
      </w:r>
    </w:p>
    <w:p>
      <w:pPr>
        <w:spacing w:after="200" w:line="276"/>
      </w:pPr>
      <w:r>
        <w:t xml:space="preserve">Please confirm your acceptance of these terms by signing and returning the enclosed copy of this letter. We may begin work on your instructions before receiving the signed copy, in which case you will be deemed to have accepted these terms.</w:t>
      </w:r>
    </w:p>
    <w:p>
      <w:pPr>
        <w:spacing w:after="300" w:line="276"/>
      </w:pPr>
      <w:r>
        <w:t xml:space="preserve">Yours sincerely</w:t>
      </w:r>
    </w:p>
    <w:p>
      <w:pPr>
        <w:spacing w:after="0" w:line="276"/>
      </w:pPr>
      <w:r>
        <w:rPr>
          <w:b/>
          <w:bCs/>
        </w:rPr>
        <w:t xml:space="preserve">Sarah Whitfield</w:t>
      </w:r>
    </w:p>
    <w:p>
      <w:pPr>
        <w:spacing w:after="300" w:line="276"/>
      </w:pPr>
      <w:r>
        <w:t xml:space="preserve">Partner, for and on behalf of Whitfield Carter LLP</w:t>
      </w:r>
    </w:p>
    <w:p>
      <w:pPr>
        <w:spacing w:after="240" w:line="276"/>
      </w:pPr>
      <w:r>
        <w:rPr>
          <w:i/>
          <w:iCs/>
        </w:rPr>
        <w:t xml:space="preserve">Enc: Terms of Business</w:t>
      </w:r>
    </w:p>
    <w:p>
      <w:pPr>
        <w:pBdr>
          <w:top w:val="single" w:color="BFBFBF" w:sz="4" w:space="1"/>
        </w:pBdr>
        <w:spacing w:after="120" w:before="120"/>
      </w:pPr>
      <w:r>
        <w:rPr>
          <w:b/>
          <w:bCs/>
          <w:sz w:val="20"/>
          <w:szCs w:val="20"/>
        </w:rPr>
        <w:t xml:space="preserve">Acknowledged and agreed for and on behalf of Kingsford Group Limited: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Signed: ____________________________</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Date: ____________________</w:t>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Name: Karen Mensah</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Position: HR Director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pPr>
    <w:r>
      <w:rPr>
        <w:color w:val="808080"/>
        <w:sz w:val="13"/>
        <w:szCs w:val="13"/>
      </w:rPr>
      <w:t xml:space="preserve">Whitfield Carter LLP is a limited liability partnership registered in England &amp; Wales (OC# 388214). Authorised and regulated by the Solicitors Regulation Authority. 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2026-06-25T13:59:51.719Z</dcterms:created>
  <dcterms:modified xsi:type="dcterms:W3CDTF">2026-06-25T13:59:51.720Z</dcterms:modified>
</cp:coreProperties>
</file>

<file path=docProps/custom.xml><?xml version="1.0" encoding="utf-8"?>
<Properties xmlns="http://schemas.openxmlformats.org/officeDocument/2006/custom-properties" xmlns:vt="http://schemas.openxmlformats.org/officeDocument/2006/docPropsVTypes"/>
</file>