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28"/>
          <w:szCs w:val="28"/>
        </w:rPr>
        <w:t xml:space="preserve">Whitfield Carter LLP</w:t>
      </w:r>
    </w:p>
    <w:p>
      <w:pPr>
        <w:spacing w:after="0"/>
        <w:jc w:val="right"/>
      </w:pPr>
      <w:r>
        <w:rPr>
          <w:color w:val="1F3864"/>
          <w:sz w:val="18"/>
          <w:szCs w:val="18"/>
        </w:rPr>
        <w:t xml:space="preserve">Solicitors</w:t>
      </w:r>
    </w:p>
    <w:p>
      <w:pPr>
        <w:spacing w:after="0"/>
        <w:jc w:val="right"/>
      </w:pPr>
      <w:r>
        <w:rPr>
          <w:color w:val="595959"/>
          <w:sz w:val="16"/>
          <w:szCs w:val="16"/>
        </w:rPr>
        <w:t xml:space="preserve">22 Bishopsgate, London EC2N 4BQ</w:t>
      </w:r>
    </w:p>
    <w:p>
      <w:pPr>
        <w:spacing w:after="120"/>
        <w:jc w:val="right"/>
      </w:pPr>
      <w:r>
        <w:rPr>
          <w:color w:val="595959"/>
          <w:sz w:val="16"/>
          <w:szCs w:val="16"/>
        </w:rPr>
        <w:t xml:space="preserve">DX 138760 Cheapside  |  +44 (0)20 7946 0000  |  www.whitfieldcarter.com</w:t>
      </w:r>
    </w:p>
    <w:p>
      <w:pPr>
        <w:pBdr>
          <w:bottom w:val="single" w:color="1F3864" w:sz="8" w:space="1"/>
        </w:pBdr>
        <w:spacing w:after="160"/>
      </w:pPr>
      <w:r>
        <w:t xml:space="preserve"/>
      </w:r>
    </w:p>
    <w:p>
      <w:pPr>
        <w:spacing w:after="60" w:line="276"/>
      </w:pPr>
      <w:r>
        <w:rPr>
          <w:b/>
          <w:bCs/>
        </w:rPr>
        <w:t xml:space="preserve">WITHOUT PREJUDICE AND SUBJECT TO CONTRACT</w:t>
      </w:r>
    </w:p>
    <w:p>
      <w:pPr>
        <w:spacing w:after="0" w:line="276"/>
      </w:pPr>
      <w:r>
        <w:t xml:space="preserve">Ms Eleanor Bartlett</w:t>
      </w:r>
    </w:p>
    <w:p>
      <w:pPr>
        <w:spacing w:after="0" w:line="276"/>
      </w:pPr>
      <w:r>
        <w:t xml:space="preserve">Ashworth Quinn LLP</w:t>
      </w:r>
    </w:p>
    <w:p>
      <w:pPr>
        <w:spacing w:after="160" w:line="276"/>
      </w:pPr>
      <w:r>
        <w:t xml:space="preserve">30 Finsbury Square, London EC2A 1AG</w:t>
      </w:r>
    </w:p>
    <w:p>
      <w:pPr>
        <w:tabs>
          <w:tab w:val="right" w:pos="9026"/>
        </w:tabs>
        <w:spacing w:after="160"/>
      </w:pPr>
      <w:r>
        <w:t xml:space="preserve">Our ref: SW/EM/WC-00118    Your ref: EB/FOX/0042</w:t>
      </w:r>
      <w:r>
        <w:t xml:space="preserve">	9 April 2026</w:t>
      </w:r>
    </w:p>
    <w:p>
      <w:pPr>
        <w:spacing w:after="120" w:line="276"/>
      </w:pPr>
      <w:r>
        <w:t xml:space="preserve">Dear Eleanor</w:t>
      </w:r>
    </w:p>
    <w:p>
      <w:pPr>
        <w:spacing w:after="160" w:line="276"/>
      </w:pPr>
      <w:r>
        <w:rPr>
          <w:b/>
          <w:bCs/>
        </w:rPr>
        <w:t xml:space="preserve">Re: Adrian Foxley and Kingsford Group Limited – ET Case No. 2206543/2026</w:t>
      </w:r>
    </w:p>
    <w:p>
      <w:pPr>
        <w:spacing w:after="120" w:line="276"/>
      </w:pPr>
      <w:r>
        <w:t xml:space="preserve">We write further to the case management discussion and to your client’s Schedule of Loss dated 18 March 2026. This letter is written on a without-prejudice basis and is not to be referred to in the proceedings save as to costs.</w:t>
      </w:r>
    </w:p>
    <w:p>
      <w:pPr>
        <w:spacing w:after="120" w:line="276"/>
      </w:pPr>
      <w:r>
        <w:t xml:space="preserve">Our client maintains that the dismissal was both fair and wholly unconnected with any protected disclosure, and that the claim faces real difficulties on liability and causation. In particular, the board’s decision to restructure the operations function is documented in papers that predate the communications your client characterises as disclosures. We are confident of our position and are preparing for the final hearing accordingly.</w:t>
      </w:r>
    </w:p>
    <w:p>
      <w:pPr>
        <w:spacing w:after="120" w:line="276"/>
      </w:pPr>
      <w:r>
        <w:t xml:space="preserve">That said, our client recognises that litigation is expensive, time-consuming and a distraction from the business, and is willing to explore a commercial resolution. We have reviewed your client’s Schedule of Loss. We do not accept it. Among other things: the compensatory loss is overstated and takes no account of the statutory cap that would apply to the ordinary unfair dismissal claim; the mitigation assumptions are unrealistic given your client’s seniority and the recruiter evidence we have seen; the claimed 15% Acas uplift is not made out; and the injury-to-feelings figure assumes a finding on the disclosure claim that we say will not be made.</w:t>
      </w:r>
    </w:p>
    <w:p>
      <w:pPr>
        <w:spacing w:after="120" w:line="276"/>
      </w:pPr>
      <w:r>
        <w:t xml:space="preserve">Nevertheless, with a view to settlement and without any admission of liability, our client is prepared to offer the sum of £150,000 (one hundred and fifty thousand pounds) inclusive in full and final settlement of all claims, to be documented in a statutory settlement agreement with the usual terms (mutual confidentiality, an agreed reference, reaffirmation of post-termination covenants, and a tax indemnity), together with a contribution of £1,250 plus VAT towards your client’s legal costs.</w:t>
      </w:r>
    </w:p>
    <w:p>
      <w:pPr>
        <w:spacing w:after="120" w:line="276"/>
      </w:pPr>
      <w:r>
        <w:t xml:space="preserve">This offer is made on a genuine attempt to resolve the dispute and reflects the litigation risk for both sides. It is open for acceptance for 21 days from the date of this letter, after which it is automatically withdrawn without further notice. If your client does not accept it, our client reserves the right to refer to this letter on the question of costs.</w:t>
      </w:r>
    </w:p>
    <w:p>
      <w:pPr>
        <w:spacing w:after="200" w:line="276"/>
      </w:pPr>
      <w:r>
        <w:t xml:space="preserve">We are also content, if it would assist, to attend a short mediation before the exchange of witness statements. Please let us know your client’s position.</w:t>
      </w:r>
    </w:p>
    <w:p>
      <w:pPr>
        <w:spacing w:after="300" w:line="276"/>
      </w:pPr>
      <w:r>
        <w:t xml:space="preserve">Yours sincerely</w:t>
      </w:r>
    </w:p>
    <w:p>
      <w:pPr>
        <w:spacing w:after="0" w:line="276"/>
      </w:pPr>
      <w:r>
        <w:rPr>
          <w:b/>
          <w:bCs/>
        </w:rPr>
        <w:t xml:space="preserve">Sarah Whitfield</w:t>
      </w:r>
    </w:p>
    <w:p>
      <w:pPr>
        <w:spacing w:after="0" w:line="276"/>
      </w:pPr>
      <w:r>
        <w:t xml:space="preserve">Partner, Whitfield Carter LLP</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pPr>
    <w:r>
      <w:rPr>
        <w:color w:val="808080"/>
        <w:sz w:val="13"/>
        <w:szCs w:val="13"/>
      </w:rPr>
      <w:t xml:space="preserve">Whitfield Carter LLP is a limited liability partnership registered in England &amp; Wales (OC# 388214). Authorised and regulated by the Solicitors Regulation Authority. 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2026-06-25T13:59:51.834Z</dcterms:created>
  <dcterms:modified xsi:type="dcterms:W3CDTF">2026-06-25T13:59:51.834Z</dcterms:modified>
</cp:coreProperties>
</file>

<file path=docProps/custom.xml><?xml version="1.0" encoding="utf-8"?>
<Properties xmlns="http://schemas.openxmlformats.org/officeDocument/2006/custom-properties" xmlns:vt="http://schemas.openxmlformats.org/officeDocument/2006/docPropsVTypes"/>
</file>