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PRIVATE &amp; CONFIDENTIAL</w:t>
      </w:r>
    </w:p>
    <w:p>
      <w:r>
        <w:t xml:space="preserve"/>
      </w:r>
    </w:p>
    <w:p>
      <w:r>
        <w:t xml:space="preserve">Drummond Hale LLP</w:t>
      </w:r>
    </w:p>
    <w:p>
      <w:r>
        <w:t xml:space="preserve">3 Colmore Circus, Birmingham B4 6AT</w:t>
      </w:r>
    </w:p>
    <w:p>
      <w:r>
        <w:t xml:space="preserve">For the attention of Ms Olivia Marsh</w:t>
      </w:r>
    </w:p>
    <w:p>
      <w:r>
        <w:t xml:space="preserve"/>
      </w:r>
    </w:p>
    <w:p>
      <w:pPr>
        <w:tabs>
          <w:tab w:val="right" w:pos="9026"/>
        </w:tabs>
      </w:pPr>
      <w:r>
        <w:t xml:space="preserve">Our ref: SW/WC-00120/KGL</w:t>
      </w:r>
      <w:r>
        <w:t xml:space="preserve">	5 June 2025</w:t>
      </w:r>
    </w:p>
    <w:p>
      <w:r>
        <w:t xml:space="preserve">Your ref: OM/HCL/2210</w:t>
      </w:r>
    </w:p>
    <w:p>
      <w:r>
        <w:t xml:space="preserve"/>
      </w:r>
    </w:p>
    <w:p>
      <w:r>
        <w:t xml:space="preserve">Dear Sirs</w:t>
      </w:r>
    </w:p>
    <w:p>
      <w:r>
        <w:t xml:space="preserve"/>
      </w:r>
    </w:p>
    <w:p>
      <w:r>
        <w:rPr>
          <w:b/>
          <w:bCs/>
        </w:rPr>
        <w:t xml:space="preserve">Brampton Leisure Limited v Hartwell Construction Ltd – Claim No. HT-2025-000219</w:t>
      </w:r>
    </w:p>
    <w:p>
      <w:r>
        <w:rPr>
          <w:b/>
          <w:bCs/>
        </w:rPr>
        <w:t xml:space="preserve">Directions following the first Case Management Conference on 2 June 2025</w:t>
      </w:r>
    </w:p>
    <w:p>
      <w:r>
        <w:t xml:space="preserve"/>
      </w:r>
    </w:p>
    <w:p>
      <w:r>
        <w:t xml:space="preserve">We write to confirm our understanding of the directions ordered by the Court at the CMC on 2 June 2025 and to address the next steps.</w:t>
      </w:r>
    </w:p>
    <w:p>
      <w:pPr>
        <w:pStyle w:val="ListParagraph"/>
        <w:numPr>
          <w:ilvl w:val="0"/>
          <w:numId w:val="2"/>
        </w:numPr>
      </w:pPr>
      <w:r>
        <w:t xml:space="preserve">Disclosure: the parties are to give extended disclosure under PD 57AD, with a Disclosure Review Document to be agreed by 27 June 2025 and disclosure by list and the production of documents by 25 July 2025.</w:t>
      </w:r>
    </w:p>
    <w:p>
      <w:pPr>
        <w:pStyle w:val="ListParagraph"/>
        <w:numPr>
          <w:ilvl w:val="0"/>
          <w:numId w:val="2"/>
        </w:numPr>
      </w:pPr>
      <w:r>
        <w:t xml:space="preserve">Factual witness statements: to be exchanged simultaneously by 26 June 2025. We confirm that our client’s statements will be ready for exchange on that date and invite your confirmation that the Defendant’s will likewise be ready.</w:t>
      </w:r>
    </w:p>
    <w:p>
      <w:pPr>
        <w:pStyle w:val="ListParagraph"/>
        <w:numPr>
          <w:ilvl w:val="0"/>
          <w:numId w:val="2"/>
        </w:numPr>
      </w:pPr>
      <w:r>
        <w:t xml:space="preserve">Expert evidence: the parties have permission to rely on one expert each in the fields of (a) building-services engineering and (b) building façade/envelope engineering, with reports to be exchanged by 26 September 2025 and a joint statement by 24 October 2025.</w:t>
      </w:r>
    </w:p>
    <w:p>
      <w:pPr>
        <w:pStyle w:val="ListParagraph"/>
        <w:numPr>
          <w:ilvl w:val="0"/>
          <w:numId w:val="2"/>
        </w:numPr>
      </w:pPr>
      <w:r>
        <w:t xml:space="preserve">Scott Schedule: an updated composite Scott Schedule, incorporating the Defendant’s responses and the Claimant’s replies, is to be filed by 7 November 2025.</w:t>
      </w:r>
    </w:p>
    <w:p>
      <w:pPr>
        <w:pStyle w:val="ListParagraph"/>
        <w:numPr>
          <w:ilvl w:val="0"/>
          <w:numId w:val="2"/>
        </w:numPr>
      </w:pPr>
      <w:r>
        <w:t xml:space="preserve">Trial: a 10-day trial window has been fixed for the first quarter of 2027, with a pre-trial review approximately eight weeks before.</w:t>
      </w:r>
    </w:p>
    <w:p>
      <w:r>
        <w:t xml:space="preserve">As to disclosure, we should be grateful if you would let us have your client’s proposals for the Issues for Disclosure by return so that we can seek to agree the DRD in good time. We remain willing to explore mediation and look forward to your client’s response to our open invitation of 14 May 2025.</w:t>
      </w:r>
    </w:p>
    <w:p>
      <w:r>
        <w:t xml:space="preserve"/>
      </w:r>
    </w:p>
    <w:p>
      <w:r>
        <w:t xml:space="preserve">Yours faithfully</w:t>
      </w:r>
    </w:p>
    <w:p>
      <w:r>
        <w:t xml:space="preserve"/>
      </w:r>
    </w:p>
    <w:p>
      <w:r>
        <w:t xml:space="preserve"/>
      </w:r>
    </w:p>
    <w:p>
      <w:r>
        <w:rPr>
          <w:b/>
          <w:bCs/>
        </w:rPr>
        <w:t xml:space="preserve">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pPr>
    <w:r>
      <w:rPr>
        <w:color w:val="777777"/>
        <w:sz w:val="14"/>
        <w:szCs w:val="14"/>
      </w:rPr>
      <w:t xml:space="preserve">Whitfield Carter LLP is a limited liability partnership registered in England and Wales (OC384217). Regulated by the Solicitors Regulation Authority.</w:t>
    </w:r>
  </w:p>
  <w:p>
    <w:r>
      <w:rPr>
        <w:i/>
        <w:iCs/>
        <w:color w:val="777777"/>
        <w:sz w:val="14"/>
        <w:szCs w:val="14"/>
      </w:rPr>
      <w:t xml:space="preserve">Confidential and may be legally privileged.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sz w:val="26"/>
        <w:szCs w:val="26"/>
      </w:rPr>
      <w:t xml:space="preserve">WHITFIELD CARTER LLP</w:t>
    </w:r>
  </w:p>
  <w:p>
    <w:pPr>
      <w:jc w:val="right"/>
    </w:pPr>
    <w:r>
      <w:rPr>
        <w:color w:val="555555"/>
        <w:sz w:val="18"/>
        <w:szCs w:val="18"/>
      </w:rPr>
      <w:t xml:space="preserve">Solicitors</w:t>
    </w:r>
  </w:p>
  <w:p>
    <w:pPr>
      <w:pBdr>
        <w:bottom w:val="single" w:color="1F3864" w:sz="6" w:space="4"/>
      </w:pBdr>
      <w:jc w:val="right"/>
    </w:pPr>
    <w:r>
      <w:rPr>
        <w:color w:val="555555"/>
        <w:sz w:val="16"/>
        <w:szCs w:val="16"/>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2026-06-25T15:10:30.940Z</dcterms:created>
  <dcterms:modified xsi:type="dcterms:W3CDTF">2026-06-25T15:10:30.940Z</dcterms:modified>
</cp:coreProperties>
</file>

<file path=docProps/custom.xml><?xml version="1.0" encoding="utf-8"?>
<Properties xmlns="http://schemas.openxmlformats.org/officeDocument/2006/custom-properties" xmlns:vt="http://schemas.openxmlformats.org/officeDocument/2006/docPropsVTypes"/>
</file>