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t xml:space="preserve">PRIVATE &amp; CONFIDENTIAL</w:t>
      </w:r>
    </w:p>
    <w:p>
      <w:r>
        <w:t xml:space="preserve">By post and by email</w:t>
      </w:r>
    </w:p>
    <w:p>
      <w:r>
        <w:t xml:space="preserve"/>
      </w:r>
    </w:p>
    <w:p>
      <w:r>
        <w:t xml:space="preserve">The Directors</w:t>
      </w:r>
    </w:p>
    <w:p>
      <w:r>
        <w:t xml:space="preserve">Hartwell Construction Ltd</w:t>
      </w:r>
    </w:p>
    <w:p>
      <w:r>
        <w:t xml:space="preserve">Unit 7, Saltley Business Park</w:t>
      </w:r>
    </w:p>
    <w:p>
      <w:r>
        <w:t xml:space="preserve">Tame Road, Birmingham B8 1JT</w:t>
      </w:r>
    </w:p>
    <w:p>
      <w:r>
        <w:t xml:space="preserve"/>
      </w:r>
    </w:p>
    <w:p>
      <w:pPr>
        <w:tabs>
          <w:tab w:val="right" w:pos="9026"/>
        </w:tabs>
      </w:pPr>
      <w:r>
        <w:t xml:space="preserve">Our ref: SW/WC-00120/KGL</w:t>
      </w:r>
      <w:r>
        <w:t xml:space="preserve">	14 November 2024</w:t>
      </w:r>
    </w:p>
    <w:p>
      <w:r>
        <w:t xml:space="preserve"/>
      </w:r>
    </w:p>
    <w:p>
      <w:r>
        <w:t xml:space="preserve">Dear Sirs</w:t>
      </w:r>
    </w:p>
    <w:p>
      <w:r>
        <w:t xml:space="preserve"/>
      </w:r>
    </w:p>
    <w:p>
      <w:r>
        <w:rPr>
          <w:b/>
          <w:bCs/>
        </w:rPr>
        <w:t xml:space="preserve">Letter of Claim – Defective works at The Vault Birmingham, 118 Broad Street, Birmingham B15 1AU</w:t>
      </w:r>
    </w:p>
    <w:p>
      <w:r>
        <w:rPr>
          <w:b/>
          <w:bCs/>
        </w:rPr>
        <w:t xml:space="preserve">JCT Design and Build Contract 2016 dated 9 January 2023 (“the Contract”)</w:t>
      </w:r>
    </w:p>
    <w:p>
      <w:r>
        <w:t xml:space="preserve"/>
      </w:r>
    </w:p>
    <w:p>
      <w:r>
        <w:t xml:space="preserve">We act for Brampton Leisure Limited (“our client” / “the Employer”), a wholly-owned subsidiary of Kingsford Group Limited. This letter is sent in accordance with the Pre-Action Protocol for Construction and Engineering Disputes. We invite you to treat it as the formal Letter of Claim.</w:t>
      </w:r>
    </w:p>
    <w:p>
      <w:pPr>
        <w:pStyle w:val="Heading2"/>
      </w:pPr>
      <w:r>
        <w:t xml:space="preserve">1. The parties and the Contract</w:t>
      </w:r>
    </w:p>
    <w:p>
      <w:pPr>
        <w:pStyle w:val="ListParagraph"/>
        <w:numPr>
          <w:ilvl w:val="0"/>
          <w:numId w:val="2"/>
        </w:numPr>
      </w:pPr>
      <w:r>
        <w:t xml:space="preserve">By a JCT Design and Build Contract 2016 dated 9 January 2023, our client engaged Hartwell Construction Ltd (“you” / “the Contractor”) to design and construct the fit-out and mechanical and electrical (“M&amp;E”) installation of a flagship health and fitness club known as “The Vault Birmingham” at 118 Broad Street, Birmingham B15 1AU (“the Works”).</w:t>
      </w:r>
    </w:p>
    <w:p>
      <w:pPr>
        <w:pStyle w:val="ListParagraph"/>
        <w:numPr>
          <w:ilvl w:val="0"/>
          <w:numId w:val="2"/>
        </w:numPr>
      </w:pPr>
      <w:r>
        <w:t xml:space="preserve">The Contract Sum was £6,180,000 (exclusive of VAT). The Contract incorporated the JCT Design and Build Contract 2016 Conditions with bespoke amendments set out in the Contract Particulars and the Employer’s Requirements. The Employer’s Agent was Marrable Quantity Surveyors LLP.</w:t>
      </w:r>
    </w:p>
    <w:p>
      <w:pPr>
        <w:pStyle w:val="ListParagraph"/>
        <w:numPr>
          <w:ilvl w:val="0"/>
          <w:numId w:val="2"/>
        </w:numPr>
      </w:pPr>
      <w:r>
        <w:t xml:space="preserve">The Date for Completion was 23 February 2024. The Works included, in particular: (a) a 25-metre swimming pool together with its associated plant, filtration and water-treatment installation; (b) a thermal spa suite; (c) air-handling and HVAC installations serving the pool hall and studios; and (d) the building envelope works to the pool hall, including roof and curtain-wall glazing.</w:t>
      </w:r>
    </w:p>
    <w:p>
      <w:pPr>
        <w:pStyle w:val="Heading2"/>
      </w:pPr>
      <w:r>
        <w:t xml:space="preserve">2. Practical Completion and the defects</w:t>
      </w:r>
    </w:p>
    <w:p>
      <w:pPr>
        <w:pStyle w:val="ListParagraph"/>
        <w:numPr>
          <w:ilvl w:val="0"/>
          <w:numId w:val="2"/>
        </w:numPr>
      </w:pPr>
      <w:r>
        <w:t xml:space="preserve">You issued a Notice of Practical Completion which our client’s agent certified on 8 March 2024 (some two weeks late). The club opened to members on 25 March 2024.</w:t>
      </w:r>
    </w:p>
    <w:p>
      <w:pPr>
        <w:pStyle w:val="ListParagraph"/>
        <w:numPr>
          <w:ilvl w:val="0"/>
          <w:numId w:val="2"/>
        </w:numPr>
      </w:pPr>
      <w:r>
        <w:t xml:space="preserve">From in or about April 2024, a series of serious defects manifested. In summary, and without limitation:</w:t>
      </w:r>
    </w:p>
    <w:p>
      <w:pPr>
        <w:pStyle w:val="ListParagraph"/>
        <w:numPr>
          <w:ilvl w:val="0"/>
          <w:numId w:val="3"/>
        </w:numPr>
      </w:pPr>
      <w:r>
        <w:t xml:space="preserve">persistent water ingress to the pool hall at the junction of the curtain-wall glazing and the roof abutment, causing staining, corrosion to steelwork and the closure of part of the poolside on safety grounds;</w:t>
      </w:r>
    </w:p>
    <w:p>
      <w:pPr>
        <w:pStyle w:val="ListParagraph"/>
        <w:numPr>
          <w:ilvl w:val="0"/>
          <w:numId w:val="3"/>
        </w:numPr>
      </w:pPr>
      <w:r>
        <w:t xml:space="preserve">failure of the pool water-treatment plant: the dosing and filtration system was undersized and incorrectly commissioned, resulting in repeated breaches of the recommended combined-chlorine and pH parameters and three temporary pool closures directed by the Environmental Health Officer;</w:t>
      </w:r>
    </w:p>
    <w:p>
      <w:pPr>
        <w:pStyle w:val="ListParagraph"/>
        <w:numPr>
          <w:ilvl w:val="0"/>
          <w:numId w:val="3"/>
        </w:numPr>
      </w:pPr>
      <w:r>
        <w:t xml:space="preserve">inadequate ventilation of the pool hall: the air-handling units were specified and installed at a capacity materially below that required to control humidity, leading to condensation, mould growth and accelerated deterioration of finishes; and</w:t>
      </w:r>
    </w:p>
    <w:p>
      <w:pPr>
        <w:pStyle w:val="ListParagraph"/>
        <w:numPr>
          <w:ilvl w:val="0"/>
          <w:numId w:val="3"/>
        </w:numPr>
      </w:pPr>
      <w:r>
        <w:t xml:space="preserve">defective installation of the studio HVAC controls, such that two studios could not be used during summer 2024.</w:t>
      </w:r>
    </w:p>
    <w:p>
      <w:pPr>
        <w:pStyle w:val="ListParagraph"/>
        <w:numPr>
          <w:ilvl w:val="0"/>
          <w:numId w:val="2"/>
        </w:numPr>
      </w:pPr>
      <w:r>
        <w:t xml:space="preserve">Our client instructed Lyle Forsyth Associates, consulting building-services and façade engineers, to investigate. Their report dated 18 October 2024 concludes that the defects arise from breaches of your design and workmanship obligations under the Contract and from a failure to comply with the Employer’s Requirements and with good industry practice.</w:t>
      </w:r>
    </w:p>
    <w:p>
      <w:pPr>
        <w:pStyle w:val="Heading2"/>
      </w:pPr>
      <w:r>
        <w:t xml:space="preserve">3. Breaches of contract</w:t>
      </w:r>
    </w:p>
    <w:p>
      <w:pPr>
        <w:pStyle w:val="ListParagraph"/>
        <w:numPr>
          <w:ilvl w:val="0"/>
          <w:numId w:val="2"/>
        </w:numPr>
      </w:pPr>
      <w:r>
        <w:t xml:space="preserve">The matters set out above constitute breaches of, among other provisions: clause 2.1 (obligation to carry out and complete the Works in accordance with the Contract Documents); clause 2.17 (design obligations and the standard of a competent professional designer); clause 3.13 (compliance with instructions and standards); and the implied terms as to reasonable skill and care and fitness for purpose.</w:t>
      </w:r>
    </w:p>
    <w:p>
      <w:pPr>
        <w:pStyle w:val="Heading2"/>
      </w:pPr>
      <w:r>
        <w:t xml:space="preserve">4. Loss and damage</w:t>
      </w:r>
    </w:p>
    <w:p>
      <w:pPr>
        <w:pStyle w:val="ListParagraph"/>
        <w:numPr>
          <w:ilvl w:val="0"/>
          <w:numId w:val="2"/>
        </w:numPr>
      </w:pPr>
      <w:r>
        <w:t xml:space="preserve">Our client’s loss is presently estimated as follows, and is more fully particularised in the schedule enclosed: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0"/>
        <w:gridCol w:w="2760"/>
      </w:tblGrid>
      <w:tr>
        <w:trPr>
          <w:tblHeader/>
        </w:trPr>
        <w:tc>
          <w:tcPr>
            <w:tcW w:type="dxa" w:w="66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pPr>
              <w:jc w:val="left"/>
            </w:pPr>
            <w:r>
              <w:rPr>
                <w:b/>
                <w:bCs/>
                <w:color w:val="FFFFFF"/>
                <w:sz w:val="20"/>
                <w:szCs w:val="20"/>
              </w:rPr>
              <w:t xml:space="preserve">Head of loss</w:t>
            </w:r>
          </w:p>
        </w:tc>
        <w:tc>
          <w:tcPr>
            <w:tcW w:type="dxa" w:w="276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pPr>
              <w:jc w:val="right"/>
            </w:pPr>
            <w:r>
              <w:rPr>
                <w:b/>
                <w:bCs/>
                <w:color w:val="FFFFFF"/>
                <w:sz w:val="20"/>
                <w:szCs w:val="20"/>
              </w:rPr>
              <w:t xml:space="preserve">Amount (£)</w:t>
            </w:r>
          </w:p>
        </w:tc>
      </w:tr>
      <w:tr>
        <w:tc>
          <w:tcPr>
            <w:tcW w:type="dxa" w:w="66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left"/>
            </w:pPr>
            <w:r>
              <w:rPr>
                <w:b w:val="false"/>
                <w:bCs w:val="false"/>
                <w:sz w:val="20"/>
                <w:szCs w:val="20"/>
              </w:rPr>
              <w:t xml:space="preserve">Remedial works – façade / roof water ingress</w:t>
            </w:r>
          </w:p>
        </w:tc>
        <w:tc>
          <w:tcPr>
            <w:tcW w:type="dxa" w:w="27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right"/>
            </w:pPr>
            <w:r>
              <w:rPr>
                <w:b w:val="false"/>
                <w:bCs w:val="false"/>
                <w:sz w:val="20"/>
                <w:szCs w:val="20"/>
              </w:rPr>
              <w:t xml:space="preserve">742,500</w:t>
            </w:r>
          </w:p>
        </w:tc>
      </w:tr>
      <w:tr>
        <w:tc>
          <w:tcPr>
            <w:tcW w:type="dxa" w:w="66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left"/>
            </w:pPr>
            <w:r>
              <w:rPr>
                <w:b w:val="false"/>
                <w:bCs w:val="false"/>
                <w:sz w:val="20"/>
                <w:szCs w:val="20"/>
              </w:rPr>
              <w:t xml:space="preserve">Remedial works – pool water-treatment plant</w:t>
            </w:r>
          </w:p>
        </w:tc>
        <w:tc>
          <w:tcPr>
            <w:tcW w:type="dxa" w:w="27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right"/>
            </w:pPr>
            <w:r>
              <w:rPr>
                <w:b w:val="false"/>
                <w:bCs w:val="false"/>
                <w:sz w:val="20"/>
                <w:szCs w:val="20"/>
              </w:rPr>
              <w:t xml:space="preserve">418,000</w:t>
            </w:r>
          </w:p>
        </w:tc>
      </w:tr>
      <w:tr>
        <w:tc>
          <w:tcPr>
            <w:tcW w:type="dxa" w:w="66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left"/>
            </w:pPr>
            <w:r>
              <w:rPr>
                <w:b w:val="false"/>
                <w:bCs w:val="false"/>
                <w:sz w:val="20"/>
                <w:szCs w:val="20"/>
              </w:rPr>
              <w:t xml:space="preserve">Remedial works – pool hall ventilation / HVAC</w:t>
            </w:r>
          </w:p>
        </w:tc>
        <w:tc>
          <w:tcPr>
            <w:tcW w:type="dxa" w:w="27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right"/>
            </w:pPr>
            <w:r>
              <w:rPr>
                <w:b w:val="false"/>
                <w:bCs w:val="false"/>
                <w:sz w:val="20"/>
                <w:szCs w:val="20"/>
              </w:rPr>
              <w:t xml:space="preserve">596,400</w:t>
            </w:r>
          </w:p>
        </w:tc>
      </w:tr>
      <w:tr>
        <w:tc>
          <w:tcPr>
            <w:tcW w:type="dxa" w:w="66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left"/>
            </w:pPr>
            <w:r>
              <w:rPr>
                <w:b w:val="false"/>
                <w:bCs w:val="false"/>
                <w:sz w:val="20"/>
                <w:szCs w:val="20"/>
              </w:rPr>
              <w:t xml:space="preserve">Investigation and professional fees</w:t>
            </w:r>
          </w:p>
        </w:tc>
        <w:tc>
          <w:tcPr>
            <w:tcW w:type="dxa" w:w="27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right"/>
            </w:pPr>
            <w:r>
              <w:rPr>
                <w:b w:val="false"/>
                <w:bCs w:val="false"/>
                <w:sz w:val="20"/>
                <w:szCs w:val="20"/>
              </w:rPr>
              <w:t xml:space="preserve">184,200</w:t>
            </w:r>
          </w:p>
        </w:tc>
      </w:tr>
      <w:tr>
        <w:tc>
          <w:tcPr>
            <w:tcW w:type="dxa" w:w="66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left"/>
            </w:pPr>
            <w:r>
              <w:rPr>
                <w:b w:val="false"/>
                <w:bCs w:val="false"/>
                <w:sz w:val="20"/>
                <w:szCs w:val="20"/>
              </w:rPr>
              <w:t xml:space="preserve">Loss of profit – closures and reduced membership</w:t>
            </w:r>
          </w:p>
        </w:tc>
        <w:tc>
          <w:tcPr>
            <w:tcW w:type="dxa" w:w="27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right"/>
            </w:pPr>
            <w:r>
              <w:rPr>
                <w:b w:val="false"/>
                <w:bCs w:val="false"/>
                <w:sz w:val="20"/>
                <w:szCs w:val="20"/>
              </w:rPr>
              <w:t xml:space="preserve">1,310,000</w:t>
            </w:r>
          </w:p>
        </w:tc>
      </w:tr>
      <w:tr>
        <w:tc>
          <w:tcPr>
            <w:tcW w:type="dxa" w:w="66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left"/>
            </w:pPr>
            <w:r>
              <w:rPr>
                <w:b w:val="false"/>
                <w:bCs w:val="false"/>
                <w:sz w:val="20"/>
                <w:szCs w:val="20"/>
              </w:rPr>
              <w:t xml:space="preserve">Alternative provision / member compensation</w:t>
            </w:r>
          </w:p>
        </w:tc>
        <w:tc>
          <w:tcPr>
            <w:tcW w:type="dxa" w:w="27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right"/>
            </w:pPr>
            <w:r>
              <w:rPr>
                <w:b w:val="false"/>
                <w:bCs w:val="false"/>
                <w:sz w:val="20"/>
                <w:szCs w:val="20"/>
              </w:rPr>
              <w:t xml:space="preserve">168,500</w:t>
            </w:r>
          </w:p>
        </w:tc>
      </w:tr>
      <w:tr>
        <w:tc>
          <w:tcPr>
            <w:tcW w:type="dxa" w:w="6600"/>
            <w:tcBorders>
              <w:top w:val="single" w:color="999999" w:sz="1"/>
              <w:left w:val="single" w:color="999999" w:sz="1"/>
              <w:bottom w:val="single" w:color="999999" w:sz="1"/>
              <w:right w:val="single" w:color="999999" w:sz="1"/>
            </w:tcBorders>
            <w:shd w:fill="EAEFF7" w:val="clear"/>
            <w:tcMar>
              <w:top w:type="dxa" w:w="60"/>
              <w:left w:type="dxa" w:w="110"/>
              <w:bottom w:type="dxa" w:w="60"/>
              <w:right w:type="dxa" w:w="110"/>
            </w:tcMar>
          </w:tcPr>
          <w:p>
            <w:pPr>
              <w:jc w:val="left"/>
            </w:pPr>
            <w:r>
              <w:rPr>
                <w:b/>
                <w:bCs/>
                <w:sz w:val="20"/>
                <w:szCs w:val="20"/>
              </w:rPr>
              <w:t xml:space="preserve">Total</w:t>
            </w:r>
          </w:p>
        </w:tc>
        <w:tc>
          <w:tcPr>
            <w:tcW w:type="dxa" w:w="2760"/>
            <w:tcBorders>
              <w:top w:val="single" w:color="999999" w:sz="1"/>
              <w:left w:val="single" w:color="999999" w:sz="1"/>
              <w:bottom w:val="single" w:color="999999" w:sz="1"/>
              <w:right w:val="single" w:color="999999" w:sz="1"/>
            </w:tcBorders>
            <w:shd w:fill="EAEFF7" w:val="clear"/>
            <w:tcMar>
              <w:top w:type="dxa" w:w="60"/>
              <w:left w:type="dxa" w:w="110"/>
              <w:bottom w:type="dxa" w:w="60"/>
              <w:right w:type="dxa" w:w="110"/>
            </w:tcMar>
          </w:tcPr>
          <w:p>
            <w:pPr>
              <w:jc w:val="right"/>
            </w:pPr>
            <w:r>
              <w:rPr>
                <w:b/>
                <w:bCs/>
                <w:sz w:val="20"/>
                <w:szCs w:val="20"/>
              </w:rPr>
              <w:t xml:space="preserve">3,419,600</w:t>
            </w:r>
          </w:p>
        </w:tc>
      </w:tr>
    </w:tbl>
    <w:p>
      <w:r>
        <w:t xml:space="preserve"/>
      </w:r>
    </w:p>
    <w:p>
      <w:pPr>
        <w:pStyle w:val="Heading2"/>
      </w:pPr>
      <w:r>
        <w:t xml:space="preserve">5. Documents</w:t>
      </w:r>
    </w:p>
    <w:p>
      <w:pPr>
        <w:pStyle w:val="ListParagraph"/>
        <w:numPr>
          <w:ilvl w:val="0"/>
          <w:numId w:val="2"/>
        </w:numPr>
      </w:pPr>
      <w:r>
        <w:t xml:space="preserve">Copies of the principal documents on which our client relies are available on request, including the Contract and Contract Particulars, the Employer’s Requirements, the Lyle Forsyth Associates report dated 18 October 2024, and the relevant Environmental Health correspondence.</w:t>
      </w:r>
    </w:p>
    <w:p>
      <w:pPr>
        <w:pStyle w:val="Heading2"/>
      </w:pPr>
      <w:r>
        <w:t xml:space="preserve">6. The remedy sought</w:t>
      </w:r>
    </w:p>
    <w:p>
      <w:pPr>
        <w:pStyle w:val="ListParagraph"/>
        <w:numPr>
          <w:ilvl w:val="0"/>
          <w:numId w:val="2"/>
        </w:numPr>
      </w:pPr>
      <w:r>
        <w:t xml:space="preserve">Our client seeks damages in the sum of £3,419,600 (subject to final quantification), together with interest and costs. Our client is willing to engage in a meeting and/or mediation in accordance with paragraph 9 of the Protocol.</w:t>
      </w:r>
    </w:p>
    <w:p>
      <w:pPr>
        <w:pStyle w:val="Heading2"/>
      </w:pPr>
      <w:r>
        <w:t xml:space="preserve">7. Response</w:t>
      </w:r>
    </w:p>
    <w:p>
      <w:pPr>
        <w:pStyle w:val="ListParagraph"/>
        <w:numPr>
          <w:ilvl w:val="0"/>
          <w:numId w:val="2"/>
        </w:numPr>
      </w:pPr>
      <w:r>
        <w:t xml:space="preserve">Please acknowledge this letter within 14 days and provide your full Letter of Response within 28 days of that acknowledgement, in accordance with the Protocol. If we do not hear from you, our client reserves the right to commence proceedings without further notice.</w:t>
      </w:r>
    </w:p>
    <w:p>
      <w:r>
        <w:t xml:space="preserve"/>
      </w:r>
    </w:p>
    <w:p>
      <w:r>
        <w:t xml:space="preserve">Yours faithfully</w:t>
      </w:r>
    </w:p>
    <w:p>
      <w:r>
        <w:t xml:space="preserve"/>
      </w:r>
    </w:p>
    <w:p>
      <w:r>
        <w:t xml:space="preserve"/>
      </w:r>
    </w:p>
    <w:p>
      <w:r>
        <w:rPr>
          <w:b/>
          <w:bCs/>
        </w:rPr>
        <w:t xml:space="preserve">Whitfield Carter LLP</w:t>
      </w:r>
    </w:p>
    <w:p>
      <w:r>
        <w:t xml:space="preserve">Enc: Preliminary Schedule of Loss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pPr>
    <w:r>
      <w:rPr>
        <w:color w:val="777777"/>
        <w:sz w:val="14"/>
        <w:szCs w:val="14"/>
      </w:rPr>
      <w:t xml:space="preserve">Whitfield Carter LLP is a limited liability partnership registered in England and Wales (OC384217). Regulated by the Solicitors Regulation Authority.</w:t>
    </w:r>
  </w:p>
  <w:p>
    <w:r>
      <w:rPr>
        <w:i/>
        <w:iCs/>
        <w:color w:val="777777"/>
        <w:sz w:val="14"/>
        <w:szCs w:val="14"/>
      </w:rPr>
      <w:t xml:space="preserve">Confidential and may be legally privileged.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sz w:val="26"/>
        <w:szCs w:val="26"/>
      </w:rPr>
      <w:t xml:space="preserve">WHITFIELD CARTER LLP</w:t>
    </w:r>
  </w:p>
  <w:p>
    <w:pPr>
      <w:jc w:val="right"/>
    </w:pPr>
    <w:r>
      <w:rPr>
        <w:color w:val="555555"/>
        <w:sz w:val="18"/>
        <w:szCs w:val="18"/>
      </w:rPr>
      <w:t xml:space="preserve">Solicitors</w:t>
    </w:r>
  </w:p>
  <w:p>
    <w:pPr>
      <w:pBdr>
        <w:bottom w:val="single" w:color="1F3864" w:sz="6" w:space="4"/>
      </w:pBdr>
      <w:jc w:val="right"/>
    </w:pPr>
    <w:r>
      <w:rPr>
        <w:color w:val="555555"/>
        <w:sz w:val="16"/>
        <w:szCs w:val="16"/>
      </w:rPr>
      <w:t xml:space="preserve">22 Bishopsgate, London EC2N 4BQ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2026-06-25T15:10:30.824Z</dcterms:created>
  <dcterms:modified xsi:type="dcterms:W3CDTF">2026-06-25T15:10:30.826Z</dcterms:modified>
</cp:coreProperties>
</file>

<file path=docProps/custom.xml><?xml version="1.0" encoding="utf-8"?>
<Properties xmlns="http://schemas.openxmlformats.org/officeDocument/2006/custom-properties" xmlns:vt="http://schemas.openxmlformats.org/officeDocument/2006/docPropsVTypes"/>
</file>