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</w:rPr>
        <w:t xml:space="preserve">BRAMPTON LEISURE LIMITED v HARTWELL CONSTRUCTION LTD</w:t>
      </w:r>
    </w:p>
    <w:p>
      <w:pPr>
        <w:jc w:val="center"/>
      </w:pPr>
      <w:r>
        <w:t xml:space="preserve">Claim No. HT-2025-000219</w:t>
      </w:r>
    </w:p>
    <w:p>
      <w:pPr>
        <w:jc w:val="center"/>
      </w:pPr>
      <w:r>
        <w:rPr>
          <w:b/>
          <w:bCs/>
          <w:sz w:val="26"/>
          <w:szCs w:val="26"/>
        </w:rPr>
        <w:t xml:space="preserve">CHRONOLOGY</w:t>
      </w:r>
    </w:p>
    <w:p>
      <w:r>
        <w:t xml:space="preserve"/>
      </w:r>
    </w:p>
    <w:p>
      <w:r>
        <w:rPr>
          <w:i/>
          <w:iCs/>
          <w:sz w:val="18"/>
          <w:szCs w:val="18"/>
        </w:rPr>
        <w:t xml:space="preserve">Prepared by Whitfield Carter LLP for the Claimant. This chronology is provided for case-management purposes and is not agreed.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 Jan 2023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JCT Design and Build Contract 2016 executed (Contract Sum £6,180,000).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23 Feb 2024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Contractual Date for Completion.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 Mar 2024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Practical Completion certified (approx. 2 weeks late).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25 Mar 2024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Vault Birmingham opens to members.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Apr 2024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First reports of water staining to pool-hall ceiling and steelwork.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 May 2024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Pool closed for 3 days on EHO direction (combined-chlorine breach).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31 May 2024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Membership peaks at approx. 4,180.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14 Jun 2024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Second pool closure (water-quality).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Jul–Aug 2024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Studios 2 and 3 unusable; condensation and mould in pool hall.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19 Aug 2024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Third pool closure (water-quality).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 Sep 2024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Lyle Forsyth Associates instructed to investigate.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18 Oct 2024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Lyle Forsyth Associates report delivered.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14 Nov 2024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Letter of Claim sent under the Pre-Action Protocol.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 Dec 2024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Defendant’s Letter of Response (denies liability).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Dec 2024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Membership has fallen to approx. 2,950.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 Mar 2025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Claim Form and Particulars of Claim issued and served.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 May 2025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Defence served.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Jun 2025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First Case Management Conference; directions given.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26 Jun 2025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Claimant’s witness statements exchanged.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Q1 2027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Trial window (10 days, TCC).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7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1080" w:hanging="5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2026-06-25T15:10:30.928Z</dcterms:created>
  <dcterms:modified xsi:type="dcterms:W3CDTF">2026-06-25T15:10:30.928Z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