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18"/>
          <w:szCs w:val="18"/>
        </w:rPr>
        <w:t xml:space="preserve">Claimant – N. Reilly – First – Exhibit NR1</w:t>
      </w:r>
    </w:p>
    <w:p>
      <w:pPr>
        <w:jc w:val="right"/>
      </w:pPr>
      <w:r>
        <w:t xml:space="preserve">Claim No. HT-2025-000219</w:t>
      </w:r>
    </w:p>
    <w:p>
      <w:pPr>
        <w:jc w:val="center"/>
      </w:pPr>
      <w:r>
        <w:rPr>
          <w:b/>
          <w:bCs/>
        </w:rPr>
        <w:t xml:space="preserve">TECHNOLOGY AND CONSTRUCTION COURT (KBD)</w:t>
      </w:r>
    </w:p>
    <w:p>
      <w:pPr>
        <w:jc w:val="center"/>
      </w:pPr>
      <w:r>
        <w:rPr>
          <w:b/>
          <w:bCs/>
        </w:rPr>
        <w:t xml:space="preserve">BRAMPTON LEISURE LIMITED v HARTWELL CONSTRUCTION LTD</w:t>
      </w:r>
    </w:p>
    <w:p>
      <w:r>
        <w:t xml:space="preserve"/>
      </w:r>
    </w:p>
    <w:p>
      <w:pPr>
        <w:pBdr>
          <w:top w:val="single" w:color="000000" w:sz="6" w:space="2"/>
          <w:bottom w:val="single" w:color="000000" w:sz="6" w:space="2"/>
        </w:pBdr>
        <w:jc w:val="center"/>
      </w:pPr>
      <w:r>
        <w:rPr>
          <w:b/>
          <w:bCs/>
          <w:sz w:val="24"/>
          <w:szCs w:val="24"/>
        </w:rPr>
        <w:t xml:space="preserve">FIRST WITNESS STATEMENT OF NATHAN REILLY</w:t>
      </w:r>
    </w:p>
    <w:p>
      <w:r>
        <w:t xml:space="preserve"/>
      </w:r>
    </w:p>
    <w:p>
      <w:r>
        <w:t xml:space="preserve">I, NATHAN REILLY, of Kingsford Group Limited, Kingsford House, 4 Temple Row, Birmingham B2 5HG, WILL SAY as follows:</w:t>
      </w:r>
    </w:p>
    <w:p>
      <w:pPr>
        <w:pStyle w:val="Heading2"/>
      </w:pPr>
      <w:r>
        <w:t xml:space="preserve">Introduction</w:t>
      </w:r>
    </w:p>
    <w:p>
      <w:pPr>
        <w:pStyle w:val="ListParagraph"/>
        <w:numPr>
          <w:ilvl w:val="0"/>
          <w:numId w:val="2"/>
        </w:numPr>
      </w:pPr>
      <w:r>
        <w:t xml:space="preserve">I am the Head of M&amp;A and Corporate Development of Kingsford Group Limited (“Kingsford”) and a director of the Claimant, Brampton Leisure Limited (“Brampton”). I am authorised to make this statement on behalf of the Claimant. The facts set out below are within my own knowledge except where I indicate otherwise, in which case I give the source of my information and believe it to be true.</w:t>
      </w:r>
    </w:p>
    <w:p>
      <w:pPr>
        <w:pStyle w:val="ListParagraph"/>
        <w:numPr>
          <w:ilvl w:val="0"/>
          <w:numId w:val="2"/>
        </w:numPr>
      </w:pPr>
      <w:r>
        <w:t xml:space="preserve">There is now produced and shown to me a paginated bundle of documents marked “NR1” to which I refer. References in the form [NR1/00] are to pages of that exhibit.</w:t>
      </w:r>
    </w:p>
    <w:p>
      <w:pPr>
        <w:pStyle w:val="Heading2"/>
      </w:pPr>
      <w:r>
        <w:t xml:space="preserve">The project</w:t>
      </w:r>
    </w:p>
    <w:p>
      <w:pPr>
        <w:pStyle w:val="ListParagraph"/>
        <w:numPr>
          <w:ilvl w:val="0"/>
          <w:numId w:val="2"/>
        </w:numPr>
      </w:pPr>
      <w:r>
        <w:t xml:space="preserve">Brampton operates premium health and fitness clubs under “The Vault” brand. The Vault Birmingham was intended to be the group’s flagship club, with a 25-metre pool, spa and studio offering. Kingsford acquired the Brampton business in January 2024 (Project Atlas) and the club fit-out was already well advanced at that time.</w:t>
      </w:r>
    </w:p>
    <w:p>
      <w:pPr>
        <w:pStyle w:val="ListParagraph"/>
        <w:numPr>
          <w:ilvl w:val="0"/>
          <w:numId w:val="2"/>
        </w:numPr>
      </w:pPr>
      <w:r>
        <w:t xml:space="preserve">The Defendant was engaged under a JCT Design and Build Contract dated 9 January 2023 to carry out the fit-out and M&amp;E works. I was not personally involved in the negotiation of the building contract, which predated Kingsford’s acquisition, but I have reviewed the contract documents and the project correspondence held by Brampton.</w:t>
      </w:r>
    </w:p>
    <w:p>
      <w:pPr>
        <w:pStyle w:val="Heading2"/>
      </w:pPr>
      <w:r>
        <w:t xml:space="preserve">Opening and the emergence of defects</w:t>
      </w:r>
    </w:p>
    <w:p>
      <w:pPr>
        <w:pStyle w:val="ListParagraph"/>
        <w:numPr>
          <w:ilvl w:val="0"/>
          <w:numId w:val="2"/>
        </w:numPr>
      </w:pPr>
      <w:r>
        <w:t xml:space="preserve">The club opened to members on 25 March 2024. Membership take-up in the first two months exceeded forecast: by the end of May 2024 the club had approximately 4,180 members against a business-plan target of 3,500.</w:t>
      </w:r>
    </w:p>
    <w:p>
      <w:pPr>
        <w:pStyle w:val="ListParagraph"/>
        <w:numPr>
          <w:ilvl w:val="0"/>
          <w:numId w:val="2"/>
        </w:numPr>
      </w:pPr>
      <w:r>
        <w:t xml:space="preserve">From April 2024, the operations team reported water staining to the pool-hall ceiling and steelwork after heavy rain. In May 2024 the pool was closed for three days following a direction from the Environmental Health Officer after combined-chlorine readings exceeded the recommended maximum. There were two further closures in June and August 2024.</w:t>
      </w:r>
    </w:p>
    <w:p>
      <w:pPr>
        <w:pStyle w:val="ListParagraph"/>
        <w:numPr>
          <w:ilvl w:val="0"/>
          <w:numId w:val="2"/>
        </w:numPr>
      </w:pPr>
      <w:r>
        <w:t xml:space="preserve">The condensation and humidity problems in the pool hall became steadily worse over the summer. By August 2024 two of the four studios were effectively unusable because the air-conditioning could not cope, and we received a significant number of member complaints and a measurable uptick in cancellations.</w:t>
      </w:r>
    </w:p>
    <w:p>
      <w:pPr>
        <w:pStyle w:val="Heading2"/>
      </w:pPr>
      <w:r>
        <w:t xml:space="preserve">Investigation and impact</w:t>
      </w:r>
    </w:p>
    <w:p>
      <w:pPr>
        <w:pStyle w:val="ListParagraph"/>
        <w:numPr>
          <w:ilvl w:val="0"/>
          <w:numId w:val="2"/>
        </w:numPr>
      </w:pPr>
      <w:r>
        <w:t xml:space="preserve">Brampton instructed Lyle Forsyth Associates to investigate. I have read their report dated 18 October 2024 [NR1/142]. In broad terms it concluded that the water ingress, the undersized pool plant and the inadequate ventilation were the result of design and workmanship failings on the part of the Defendant.</w:t>
      </w:r>
    </w:p>
    <w:p>
      <w:pPr>
        <w:pStyle w:val="ListParagraph"/>
        <w:numPr>
          <w:ilvl w:val="0"/>
          <w:numId w:val="2"/>
        </w:numPr>
      </w:pPr>
      <w:r>
        <w:t xml:space="preserve">The financial impact has been severe. Membership fell from a peak of approximately 4,180 in May 2024 to approximately 2,950 by December 2024. We estimate the loss of profit attributable to the closures, the reputational damage and the reduced membership at approximately £1.31 million, as set out in the Schedule of Loss. We also incurred the cost of member compensation (free-month credits and partner-gym access) of approximately £168,500.</w:t>
      </w:r>
    </w:p>
    <w:p>
      <w:pPr>
        <w:pStyle w:val="ListParagraph"/>
        <w:numPr>
          <w:ilvl w:val="0"/>
          <w:numId w:val="2"/>
        </w:numPr>
      </w:pPr>
      <w:r>
        <w:t xml:space="preserve">The remedial works are being carried out in phases to keep the club partially open. The estimated cost of those works, supported by Lyle Forsyth Associates and our quantity surveyor, is approximately £1.757 million.</w:t>
      </w:r>
    </w:p>
    <w:p>
      <w:pPr>
        <w:pStyle w:val="Heading2"/>
      </w:pPr>
      <w:r>
        <w:t xml:space="preserve">Statement of truth</w:t>
      </w:r>
    </w:p>
    <w:p>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r>
        <w:t xml:space="preserve"/>
      </w:r>
    </w:p>
    <w:p>
      <w:r>
        <w:t xml:space="preserve">Signed: ............................................</w:t>
      </w:r>
    </w:p>
    <w:p>
      <w:r>
        <w:t xml:space="preserve">NATHAN REILLY</w:t>
      </w:r>
    </w:p>
    <w:p>
      <w:r>
        <w:t xml:space="preserve">Dated: 26 June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2026-06-25T15:10:30.918Z</dcterms:created>
  <dcterms:modified xsi:type="dcterms:W3CDTF">2026-06-25T15:10:30.918Z</dcterms:modified>
</cp:coreProperties>
</file>

<file path=docProps/custom.xml><?xml version="1.0" encoding="utf-8"?>
<Properties xmlns="http://schemas.openxmlformats.org/officeDocument/2006/custom-properties" xmlns:vt="http://schemas.openxmlformats.org/officeDocument/2006/docPropsVTypes"/>
</file>