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76"/>
        <w:jc w:val="center"/>
      </w:pPr>
      <w:r>
        <w:rPr>
          <w:b/>
          <w:bCs/>
          <w:sz w:val="26"/>
          <w:szCs w:val="26"/>
        </w:rPr>
        <w:t xml:space="preserve">COMPLETION CHECKLIST</w:t>
      </w:r>
    </w:p>
    <w:p>
      <w:pPr>
        <w:spacing w:after="60" w:line="276"/>
        <w:jc w:val="center"/>
      </w:pPr>
      <w:r>
        <w:rPr>
          <w:b/>
          <w:bCs/>
        </w:rPr>
        <w:t xml:space="preserve">Project Atlas — Acquisition of Brampton Leisure Limited</w:t>
      </w:r>
    </w:p>
    <w:p>
      <w:pPr>
        <w:spacing w:after="200" w:line="276"/>
        <w:jc w:val="center"/>
      </w:pPr>
      <w:r>
        <w:rPr>
          <w:i/>
          <w:iCs/>
          <w:sz w:val="18"/>
          <w:szCs w:val="18"/>
        </w:rPr>
        <w:t xml:space="preserve">Completion: 23 January 2026  |  Prepared by Whitfield Carter LLP (ref SW/JO/ATLAS/0112)</w:t>
      </w:r>
    </w:p>
    <w:p>
      <w:pPr>
        <w:spacing w:after="120" w:line="276"/>
        <w:jc w:val="both"/>
      </w:pPr>
      <w:r>
        <w:t xml:space="preserve">Key: WC = Whitfield Carter LLP (Buyer's solicitors); HV = Harland Vesey LLP (Sellers' solicitors); B = Buyer; S = Sellers.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360"/>
        <w:gridCol w:w="1700"/>
        <w:gridCol w:w="17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Document / step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Responsible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Share purchase agreement (execution version) — engrossment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WC / HV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Agreed — for signing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Disclosure letter and Disclosure Bundle (USB)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HV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Agreed — for signing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Tax covenant (Schedule 6 to the SPA)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WC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Agreed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Stock transfer forms for the Shares (executed by each Seller)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 / HV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 agreed form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Share certificates / indemnity for lost certificates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 deliver at Completion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EMI option exercise / release notices (700,000 shares)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HV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Served, conditional on Completion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Board minutes of the Company approving transfers and director changes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HV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 agreed form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Board minutes of Kingsford Group Limited approving the acquisition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WC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Signed 22 January 2026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Resignations of resigning directors and secretary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 agreed form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Escrow letter (Wycombe Trust Company) — Retention Account £2,500,000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WC / HV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Agreed — for signing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Deed of release of Yorkshire Commercial Bank debenture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HV / Bank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Redemption statement received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Completion funds flow statement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WC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 — circulated 22 January 2026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Buyer funds: £52,500,000 (completion £50.0m + retention £2.5m)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Confirmed available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Repayment of bank facility £8,200,000 to Yorkshire Commercial Bank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 remit at Completion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Consultancy agreement — Geoffrey Brampton (6 months)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WC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Agreed — for signing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Updated statutory registers and books of each Group Company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 deliver at Completion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Press / member communications (post-completion)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Drafted; embargoed to 24 January</w:t>
            </w:r>
          </w:p>
        </w:tc>
      </w:tr>
    </w:tbl>
    <w:p>
      <w:pPr>
        <w:spacing w:after="120" w:line="276"/>
        <w:jc w:val="both"/>
      </w:pPr>
      <w:r>
        <w:t xml:space="preserve"/>
      </w:r>
    </w:p>
    <w:p>
      <w:pPr>
        <w:spacing w:after="120" w:line="276"/>
        <w:jc w:val="both"/>
      </w:pPr>
      <w:r>
        <w:t xml:space="preserve">Completion mechanics: documents to be held to order pending confirmation of receipt of the Completion Payment (£50,000,000) by Harland Vesey LLP and of the Retention Amount (£2,500,000) into the Escrow Account, and confirmation of redemption of the Yorkshire Commercial Bank facility, whereupon Completion shall be treated as having taken place and the documents released.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2"/>
      </w:pBdr>
      <w:tabs>
        <w:tab w:val="right" w:pos="9026"/>
      </w:tabs>
    </w:pPr>
    <w:r>
      <w:rPr>
        <w:rFonts w:ascii="Arial" w:cs="Arial" w:eastAsia="Arial" w:hAnsi="Arial"/>
        <w:color w:val="888888"/>
        <w:sz w:val="14"/>
        <w:szCs w:val="14"/>
      </w:rPr>
      <w:t xml:space="preserve">Project Atlas — Completion Checklist — 23 January 2026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rFonts w:ascii="Arial" w:cs="Arial" w:eastAsia="Arial" w:hAnsi="Arial"/>
        <w:b/>
        <w:bCs/>
        <w:color w:val="1F3864"/>
        <w:sz w:val="30"/>
        <w:szCs w:val="30"/>
      </w:rPr>
      <w:t xml:space="preserve">Whitfield Carter LLP</w:t>
    </w:r>
  </w:p>
  <w:p>
    <w:pPr>
      <w:pBdr>
        <w:bottom w:val="single" w:color="1F3864" w:sz="6" w:space="2"/>
      </w:pBdr>
      <w:spacing w:after="40"/>
    </w:pPr>
    <w:r>
      <w:rPr>
        <w:rFonts w:ascii="Arial" w:cs="Arial" w:eastAsia="Arial" w:hAnsi="Arial"/>
        <w:color w:val="555555"/>
        <w:sz w:val="15"/>
        <w:szCs w:val="15"/>
      </w:rPr>
      <w:t xml:space="preserve">22 Bishopsgate, London EC2N 4BQ   |   Project Atlas — Completion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4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80" w:before="160"/>
      <w:outlineLvl w:val="1"/>
    </w:pPr>
    <w:rPr>
      <w:rFonts w:ascii="Times New Roman" w:cs="Times New Roman" w:eastAsia="Times New Roman" w:hAnsi="Times New Roman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2026-06-10T22:34:04.257Z</dcterms:created>
  <dcterms:modified xsi:type="dcterms:W3CDTF">2026-06-10T22:34:04.257Z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