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both"/>
      </w:pPr>
      <w:r>
        <w:t xml:space="preserve">23 January 2026</w:t>
      </w:r>
    </w:p>
    <w:p>
      <w:pPr>
        <w:spacing w:after="20" w:line="276"/>
        <w:jc w:val="both"/>
      </w:pPr>
      <w:r>
        <w:t xml:space="preserve">To: Kingsford Group Limited (the “Buyer”)</w:t>
      </w:r>
    </w:p>
    <w:p>
      <w:pPr>
        <w:spacing w:after="20" w:line="276"/>
        <w:jc w:val="both"/>
      </w:pPr>
      <w:r>
        <w:t xml:space="preserve">Copy: Whitfield Carter LLP</w:t>
      </w:r>
    </w:p>
    <w:p>
      <w:pPr>
        <w:spacing w:after="160" w:line="276"/>
        <w:jc w:val="both"/>
      </w:pPr>
      <w:r>
        <w:t xml:space="preserve">From: the Warrantors, c/o Harland Vesey LLP</w:t>
      </w:r>
    </w:p>
    <w:p>
      <w:pPr>
        <w:spacing w:after="120" w:line="276"/>
        <w:jc w:val="both"/>
      </w:pPr>
      <w:r>
        <w:t xml:space="preserve">Dear Sirs</w:t>
      </w:r>
    </w:p>
    <w:p>
      <w:pPr>
        <w:spacing w:after="120" w:line="276"/>
        <w:jc w:val="both"/>
      </w:pPr>
      <w:r>
        <w:rPr>
          <w:b/>
          <w:bCs/>
        </w:rPr>
        <w:t xml:space="preserve">Project Atlas — Disclosure Letter in respect of the Share Purchase Agreement relating to Brampton Leisure Limited</w:t>
      </w:r>
    </w:p>
    <w:p>
      <w:pPr>
        <w:spacing w:after="120" w:line="276"/>
        <w:jc w:val="both"/>
      </w:pPr>
      <w:r>
        <w:t xml:space="preserve">This is the Disclosure Letter referred to in the share purchase agreement of today's date (the “Agreement”) between the Sellers and the Buyer relating to the sale and purchase of the entire issued share capital of Brampton Leisure Limited. Words and expressions defined in the Agreement have the same meaning in this letter unless the context otherwise requires.</w:t>
      </w:r>
    </w:p>
    <w:p>
      <w:pPr>
        <w:pStyle w:val="Heading1"/>
      </w:pPr>
      <w:r>
        <w:t xml:space="preserve">1.  Interpretation and basis of disclosure</w:t>
      </w:r>
    </w:p>
    <w:p>
      <w:pPr>
        <w:tabs>
          <w:tab w:val="left" w:pos="600"/>
        </w:tabs>
        <w:spacing w:after="120" w:line="276"/>
        <w:ind w:left="600" w:hanging="600"/>
        <w:jc w:val="both"/>
      </w:pPr>
      <w:r>
        <w:t xml:space="preserve">1.1	</w:t>
      </w:r>
      <w:r>
        <w:t xml:space="preserve">The Warranties are given subject to, and qualified by, the matters fairly disclosed in or under this letter (including the General Disclosures in paragraph 2, the Specific Disclosures in paragraph 4 and the contents of the Data Room and the Disclosure Bundle). No matter disclosed shall be treated as a breach of any Warranty.</w:t>
      </w:r>
    </w:p>
    <w:p>
      <w:pPr>
        <w:tabs>
          <w:tab w:val="left" w:pos="600"/>
        </w:tabs>
        <w:spacing w:after="120" w:line="276"/>
        <w:ind w:left="600" w:hanging="600"/>
        <w:jc w:val="both"/>
      </w:pPr>
      <w:r>
        <w:t xml:space="preserve">1.2	</w:t>
      </w:r>
      <w:r>
        <w:t xml:space="preserve">Disclosure of any matter is not, and shall not be treated as, an admission of any liability or obligation, or that the matter is material. Where a document is disclosed, the whole of that document and any document referred to in it is disclosed.</w:t>
      </w:r>
    </w:p>
    <w:p>
      <w:pPr>
        <w:tabs>
          <w:tab w:val="left" w:pos="600"/>
        </w:tabs>
        <w:spacing w:after="120" w:line="276"/>
        <w:ind w:left="600" w:hanging="600"/>
        <w:jc w:val="both"/>
      </w:pPr>
      <w:r>
        <w:t xml:space="preserve">1.3	</w:t>
      </w:r>
      <w:r>
        <w:t xml:space="preserve">The “Data Room” means the electronic data room operated under the project name “Atlas”, an index and a copy of the contents of which (on a USB drive) are annexed to this letter as the Disclosure Bundle.</w:t>
      </w:r>
    </w:p>
    <w:p>
      <w:pPr>
        <w:pStyle w:val="Heading1"/>
      </w:pPr>
      <w:r>
        <w:t xml:space="preserve">2.  General disclosures</w:t>
      </w:r>
    </w:p>
    <w:p>
      <w:pPr>
        <w:spacing w:after="120" w:line="276"/>
        <w:jc w:val="both"/>
      </w:pPr>
      <w:r>
        <w:t xml:space="preserve">The Buyer is deemed to have knowledge of, and the Warranties are qualified by, the following matters, which are disclosed generally against all of the Warranties:</w:t>
      </w:r>
    </w:p>
    <w:p>
      <w:pPr>
        <w:tabs>
          <w:tab w:val="left" w:pos="600"/>
        </w:tabs>
        <w:spacing w:after="120" w:line="276"/>
        <w:ind w:left="600" w:hanging="600"/>
        <w:jc w:val="both"/>
      </w:pPr>
      <w:r>
        <w:t xml:space="preserve">2.1	</w:t>
      </w:r>
      <w:r>
        <w:t xml:space="preserve">all matters apparent from the Data Room and the Disclosure Bundle;</w:t>
      </w:r>
    </w:p>
    <w:p>
      <w:pPr>
        <w:tabs>
          <w:tab w:val="left" w:pos="600"/>
        </w:tabs>
        <w:spacing w:after="120" w:line="276"/>
        <w:ind w:left="600" w:hanging="600"/>
        <w:jc w:val="both"/>
      </w:pPr>
      <w:r>
        <w:t xml:space="preserve">2.2	</w:t>
      </w:r>
      <w:r>
        <w:t xml:space="preserve">all matters which would be revealed by a search of the public records maintained at Companies House, the Land Registry, the Intellectual Property Office, the Insolvency Service and the records of HM Courts &amp; Tribunals Service, in each case in respect of any Group Company, in the 10 Business Days before the date of this letter;</w:t>
      </w:r>
    </w:p>
    <w:p>
      <w:pPr>
        <w:tabs>
          <w:tab w:val="left" w:pos="600"/>
        </w:tabs>
        <w:spacing w:after="120" w:line="276"/>
        <w:ind w:left="600" w:hanging="600"/>
        <w:jc w:val="both"/>
      </w:pPr>
      <w:r>
        <w:t xml:space="preserve">2.3	</w:t>
      </w:r>
      <w:r>
        <w:t xml:space="preserve">the contents of the Company's audited statutory accounts for the three financial years ended 31 March 2023, 2024 and 2025, and the unaudited management accounts to 30 November 2025;</w:t>
      </w:r>
    </w:p>
    <w:p>
      <w:pPr>
        <w:tabs>
          <w:tab w:val="left" w:pos="600"/>
        </w:tabs>
        <w:spacing w:after="120" w:line="276"/>
        <w:ind w:left="600" w:hanging="600"/>
        <w:jc w:val="both"/>
      </w:pPr>
      <w:r>
        <w:t xml:space="preserve">2.4	</w:t>
      </w:r>
      <w:r>
        <w:t xml:space="preserve">all matters provided for, noted or reflected in the Accounts or the Management Accounts; and</w:t>
      </w:r>
    </w:p>
    <w:p>
      <w:pPr>
        <w:tabs>
          <w:tab w:val="left" w:pos="600"/>
        </w:tabs>
        <w:spacing w:after="120" w:line="276"/>
        <w:ind w:left="600" w:hanging="600"/>
        <w:jc w:val="both"/>
      </w:pPr>
      <w:r>
        <w:t xml:space="preserve">2.5	</w:t>
      </w:r>
      <w:r>
        <w:t xml:space="preserve">any matter which is within the actual knowledge of the Buyer or its advisers as a result of the due diligence exercise carried out in connection with the Proposed Transaction.</w:t>
      </w:r>
    </w:p>
    <w:p>
      <w:pPr>
        <w:pStyle w:val="Heading1"/>
      </w:pPr>
      <w:r>
        <w:t xml:space="preserve">3.  The Warranties</w:t>
      </w:r>
    </w:p>
    <w:p>
      <w:pPr>
        <w:spacing w:after="120" w:line="276"/>
        <w:jc w:val="both"/>
      </w:pPr>
      <w:r>
        <w:t xml:space="preserve">The specific disclosures in paragraph 4 are made against the Warranty or Warranties indicated. The numbering follows that of Schedule 4 to the Agreement. The fact that a disclosure is made against a particular Warranty does not limit its effect as a disclosure against any other Warranty to which it is or may be relevant.</w:t>
      </w:r>
    </w:p>
    <w:p>
      <w:pPr>
        <w:pStyle w:val="Heading1"/>
      </w:pPr>
      <w:r>
        <w:t xml:space="preserve">4.  Specific disclosures</w:t>
      </w:r>
    </w:p>
    <w:p>
      <w:pPr>
        <w:pStyle w:val="Heading2"/>
      </w:pPr>
      <w:r>
        <w:t xml:space="preserve">Warranty 2 (Shares and the Group)</w:t>
      </w:r>
    </w:p>
    <w:p>
      <w:pPr>
        <w:spacing w:after="120" w:line="276"/>
        <w:jc w:val="both"/>
      </w:pPr>
      <w:r>
        <w:t xml:space="preserve">700,000 ordinary shares are subject to options granted under the Company's EMI scheme. Conditional exercise/release notices have been served so that the Buyer acquires the entire issued share capital at Completion (see Data Room folder 1.4).</w:t>
      </w:r>
    </w:p>
    <w:p>
      <w:pPr>
        <w:pStyle w:val="Heading2"/>
      </w:pPr>
      <w:r>
        <w:t xml:space="preserve">Warranty 3 (Accounts and financial matters)</w:t>
      </w:r>
    </w:p>
    <w:p>
      <w:pPr>
        <w:spacing w:after="120" w:line="276"/>
        <w:jc w:val="both"/>
      </w:pPr>
      <w:r>
        <w:t xml:space="preserve">A dividend of £450,000 was declared and paid on 30 September 2025, as reflected in the Management Accounts and constituting Permitted Leakage. A director's loan of £1,150,000 owed to Geoffrey Brampton remains outstanding and will be repaid through the completion funds flow.</w:t>
      </w:r>
    </w:p>
    <w:p>
      <w:pPr>
        <w:pStyle w:val="Heading2"/>
      </w:pPr>
      <w:r>
        <w:t xml:space="preserve">Warranty 4 (Indebtedness and the Properties)</w:t>
      </w:r>
    </w:p>
    <w:p>
      <w:pPr>
        <w:spacing w:after="120" w:line="276"/>
        <w:jc w:val="both"/>
      </w:pPr>
      <w:r>
        <w:t xml:space="preserve">The Group's bank facility with Yorkshire Commercial Bank (outstanding £8,200,000 including accrued interest) is secured by a debenture and will be redeemed at Completion. The lease of the Sheffield club (Property 9) is currently in a rent review, with the reviewed rent yet to be agreed; correspondence is in Data Room folder 3.9.</w:t>
      </w:r>
    </w:p>
    <w:p>
      <w:pPr>
        <w:pStyle w:val="Heading2"/>
      </w:pPr>
      <w:r>
        <w:t xml:space="preserve">Warranty 5 (Contracts and trading)</w:t>
      </w:r>
    </w:p>
    <w:p>
      <w:pPr>
        <w:spacing w:after="120" w:line="276"/>
        <w:jc w:val="both"/>
      </w:pPr>
      <w:r>
        <w:t xml:space="preserve">The Group's contract with its principal fitness-equipment supplier, Pulse Fitness Equipment Ltd, contains a change-of-control provision requiring notification; a consent request has been sent and is awaited (Data Room folder 4.3).</w:t>
      </w:r>
    </w:p>
    <w:p>
      <w:pPr>
        <w:pStyle w:val="Heading2"/>
      </w:pPr>
      <w:r>
        <w:t xml:space="preserve">Warranty 6 (Employees and pensions)</w:t>
      </w:r>
    </w:p>
    <w:p>
      <w:pPr>
        <w:spacing w:after="120" w:line="276"/>
        <w:jc w:val="both"/>
      </w:pPr>
      <w:r>
        <w:t xml:space="preserve">A former regional manager has raised a grievance alleging constructive dismissal; no claim has been issued and the matter is considered by the Warrantors to be without merit (Data Room folder 5.7). The Group operates only the auto-enrolment workplace pension via a master trust; there is no defined benefit liability.</w:t>
      </w:r>
    </w:p>
    <w:p>
      <w:pPr>
        <w:pStyle w:val="Heading2"/>
      </w:pPr>
      <w:r>
        <w:t xml:space="preserve">Warranty 7 (Compliance, IP and data)</w:t>
      </w:r>
    </w:p>
    <w:p>
      <w:pPr>
        <w:spacing w:after="120" w:line="276"/>
        <w:jc w:val="both"/>
      </w:pPr>
      <w:r>
        <w:t xml:space="preserve">The Company received a routine information request from the Information Commissioner's Office in March 2025 concerning a member's subject access request, which was answered within statutory time limits; no enforcement action followed (Data Room folder 6.5).</w:t>
      </w:r>
    </w:p>
    <w:p>
      <w:pPr>
        <w:pStyle w:val="Heading2"/>
      </w:pPr>
      <w:r>
        <w:t xml:space="preserve">Warranty 8 (Tax)</w:t>
      </w:r>
    </w:p>
    <w:p>
      <w:pPr>
        <w:spacing w:after="120" w:line="276"/>
        <w:jc w:val="both"/>
      </w:pPr>
      <w:r>
        <w:t xml:space="preserve">The Group has an open enquiry from HMRC into the VAT treatment of certain membership-freeze credits for the periods 2023–2024; the Group's advisers consider the Group's treatment to be correct and no assessment has been raised (Data Room folder 8.2).</w:t>
      </w:r>
    </w:p>
    <w:p>
      <w:pPr>
        <w:pStyle w:val="Heading1"/>
      </w:pPr>
      <w:r>
        <w:t xml:space="preserve">5.  Acknowledgement</w:t>
      </w:r>
    </w:p>
    <w:p>
      <w:pPr>
        <w:spacing w:after="120" w:line="276"/>
        <w:jc w:val="both"/>
      </w:pPr>
      <w:r>
        <w:t xml:space="preserve">Please acknowledge receipt of this letter and its annexures, and your agreement that the Warranties are given subject to the matters disclosed in it, by signing and returning the enclosed duplicate.</w:t>
      </w:r>
    </w:p>
    <w:p>
      <w:pPr>
        <w:spacing w:after="200" w:line="276"/>
        <w:jc w:val="both"/>
      </w:pPr>
      <w:r>
        <w:t xml:space="preserve">Yours faithfully</w:t>
      </w:r>
    </w:p>
    <w:p>
      <w:pPr>
        <w:spacing w:after="40" w:line="276"/>
        <w:jc w:val="both"/>
      </w:pPr>
      <w:r>
        <w:t xml:space="preserve">...................................................</w:t>
      </w:r>
    </w:p>
    <w:p>
      <w:pPr>
        <w:spacing w:after="200" w:line="276"/>
        <w:jc w:val="both"/>
      </w:pPr>
      <w:r>
        <w:rPr>
          <w:i/>
          <w:iCs/>
          <w:sz w:val="18"/>
          <w:szCs w:val="18"/>
        </w:rPr>
        <w:t xml:space="preserve">For and on behalf of the Warrantors</w:t>
      </w:r>
    </w:p>
    <w:p>
      <w:pPr>
        <w:spacing w:after="160" w:line="276"/>
        <w:jc w:val="both"/>
      </w:pPr>
      <w:r>
        <w:t xml:space="preserve">We acknowledge receipt and agree to the above:</w:t>
      </w:r>
    </w:p>
    <w:p>
      <w:pPr>
        <w:spacing w:after="40" w:line="276"/>
        <w:jc w:val="both"/>
      </w:pPr>
      <w:r>
        <w:t xml:space="preserve">...................................................</w:t>
      </w:r>
    </w:p>
    <w:p>
      <w:pPr>
        <w:spacing w:after="120" w:line="276"/>
        <w:jc w:val="both"/>
      </w:pPr>
      <w:r>
        <w:rPr>
          <w:i/>
          <w:iCs/>
          <w:sz w:val="18"/>
          <w:szCs w:val="18"/>
        </w:rPr>
        <w:t xml:space="preserve">For and on behalf of Kingsford Group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Arial" w:cs="Arial" w:eastAsia="Arial" w:hAnsi="Arial"/>
        <w:color w:val="888888"/>
        <w:sz w:val="14"/>
        <w:szCs w:val="14"/>
      </w:rPr>
      <w:t xml:space="preserve">Project Atlas — Disclosure Letter — 23 January 2026</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30"/>
        <w:szCs w:val="30"/>
      </w:rPr>
      <w:t xml:space="preserve">Harland Vesey LLP</w:t>
    </w:r>
  </w:p>
  <w:p>
    <w:pPr>
      <w:pBdr>
        <w:bottom w:val="single" w:color="1F3864" w:sz="6" w:space="2"/>
      </w:pBdr>
      <w:spacing w:after="40"/>
    </w:pPr>
    <w:r>
      <w:rPr>
        <w:rFonts w:ascii="Arial" w:cs="Arial" w:eastAsia="Arial" w:hAnsi="Arial"/>
        <w:color w:val="555555"/>
        <w:sz w:val="15"/>
        <w:szCs w:val="15"/>
      </w:rPr>
      <w:t xml:space="preserve">8 Coleman Street, London EC2R 5AL   |   Solicitors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2026-06-10T22:34:04.234Z</dcterms:created>
  <dcterms:modified xsi:type="dcterms:W3CDTF">2026-06-10T22:34:04.234Z</dcterms:modified>
</cp:coreProperties>
</file>

<file path=docProps/custom.xml><?xml version="1.0" encoding="utf-8"?>
<Properties xmlns="http://schemas.openxmlformats.org/officeDocument/2006/custom-properties" xmlns:vt="http://schemas.openxmlformats.org/officeDocument/2006/docPropsVTypes"/>
</file>