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b/>
          <w:bCs/>
          <w:sz w:val="28"/>
          <w:szCs w:val="28"/>
        </w:rPr>
        <w:t xml:space="preserve">HEADS OF TERMS</w:t>
      </w:r>
    </w:p>
    <w:p>
      <w:pPr>
        <w:spacing w:after="60" w:line="276"/>
        <w:jc w:val="center"/>
      </w:pPr>
      <w:r>
        <w:rPr>
          <w:b/>
          <w:bCs/>
        </w:rPr>
        <w:t xml:space="preserve">Project Atlas — Proposed acquisition of Brampton Leisure Limited</w:t>
      </w:r>
    </w:p>
    <w:p>
      <w:pPr>
        <w:spacing w:after="200" w:line="276"/>
        <w:jc w:val="center"/>
      </w:pPr>
      <w:r>
        <w:rPr>
          <w:b/>
          <w:bCs/>
          <w:i/>
          <w:iCs/>
          <w:sz w:val="18"/>
          <w:szCs w:val="18"/>
        </w:rPr>
        <w:t xml:space="preserve">STRICTLY PRIVATE &amp; CONFIDENTIAL — SUBJECT TO CONTRACT</w:t>
      </w:r>
    </w:p>
    <w:p>
      <w:pPr>
        <w:spacing w:after="120" w:line="276"/>
        <w:jc w:val="both"/>
      </w:pPr>
      <w:r>
        <w:t xml:space="preserve">Dated 24 October 2025</w:t>
      </w:r>
    </w:p>
    <w:p>
      <w:pPr>
        <w:spacing w:after="120" w:line="276"/>
        <w:jc w:val="both"/>
      </w:pPr>
      <w:r>
        <w:t xml:space="preserve">These heads of terms record the principal terms on which Kingsford Group Limited (the “Buyer”) proposes to acquire the entire issued share capital of Brampton Leisure Limited (the “Company”, together with its subsidiaries the “Group”). Save for paragraphs 9 to 12 (which are binding), these heads of terms are not intended to be legally binding and are subject to contract and to satisfactory completion of due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1. Parties</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Buyer: Kingsford Group Limited. Sellers: Geoffrey Brampton, Cynthia Brampton, David Mercer, Hartington Equity Partners LLP and the management EMI optionholders (together the “Sellers”).</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2. Transaction</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Purchase by the Buyer of 100% of the issued and to-be-issued share capital of the Company, on a cash-free, debt-free basis with a normalised level of working capital.</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3. Enterprise value</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£62,000,000, implying an equity value of £54,500,000 after deduction of estimated net debt of £7,500,000 and assuming a nil working-capital adjustment at completion.</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4. Consideration structure</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Equity value of £54,500,000 payable as to: (a) £50,000,000 in cash on completion; (b) £2,500,000 retention held in escrow for 18 months against warranty and tax claims; and (c) up to £2,000,000 deferred consideration linked to FY2026 Adjusted EBITDA (full payment at £7.6m; nil below £7.0m).</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5. Management</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David Mercer (CEO) and the senior management team to remain with the Group post-completion on their existing terms, with a management incentive plan to be agreed. Geoffrey Brampton to retire from executive duties on completion and provide up to 6 months' consultancy.</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6. Conditions</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Completion conditional on satisfactory legal, financial and tax due diligence; Buyer board and shareholder approval; no material adverse change; and the EMI options being exercised or released so the Buyer acquires the entire share capital.</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7. Warranties &amp; indemnities</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Customary warranties and a tax covenant from the Warrantors (Geoffrey Brampton, Cynthia Brampton and David Mercer), subject to agreed financial and time limitations and disclosure.</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8. Restrictive covenants</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Non-compete and non-solicitation undertakings from the Warrantors for an agreed period following completion.</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9. Exclusivity (binding)</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The Sellers grant the Buyer exclusivity until 31 January 2026, during which the Sellers shall not solicit, encourage or enter into discussions with any third party regarding a sale of the Company or its business.</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10. Costs (binding)</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Each party bears its own costs, save that if the Sellers withdraw in breach of paragraph 9 they shall reimburse the Buyer's reasonable external adviser costs up to £150,000.</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11. Confidentiality (binding)</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The parties remain bound by the mutual non-disclosure agreement dated 13 October 2025.</w:t>
            </w:r>
          </w:p>
        </w:tc>
      </w:tr>
      <w:tr>
        <w:tc>
          <w:tcPr>
            <w:tcW w:type="dxa" w:w="260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bCs/>
                <w:color w:val="000000"/>
                <w:sz w:val="19"/>
                <w:szCs w:val="19"/>
              </w:rPr>
              <w:t xml:space="preserve">12. Governing law (binding)</w:t>
            </w:r>
          </w:p>
        </w:tc>
        <w:tc>
          <w:tcPr>
            <w:tcW w:type="dxa" w:w="6760"/>
            <w:tcBorders>
              <w:top w:val="single" w:color="AAAAAA" w:sz="1"/>
              <w:left w:val="single" w:color="AAAAAA" w:sz="1"/>
              <w:bottom w:val="single" w:color="AAAAAA" w:sz="1"/>
              <w:right w:val="single" w:color="AAAAAA" w:sz="1"/>
            </w:tcBorders>
            <w:tcMar>
              <w:top w:type="dxa" w:w="50"/>
              <w:left w:type="dxa" w:w="100"/>
              <w:bottom w:type="dxa" w:w="50"/>
              <w:right w:type="dxa" w:w="100"/>
            </w:tcMar>
          </w:tcPr>
          <w:p>
            <w:r>
              <w:rPr>
                <w:rFonts w:ascii="Arial" w:cs="Arial" w:eastAsia="Arial" w:hAnsi="Arial"/>
                <w:b w:val="false"/>
                <w:bCs w:val="false"/>
                <w:color w:val="000000"/>
                <w:sz w:val="19"/>
                <w:szCs w:val="19"/>
              </w:rPr>
              <w:t xml:space="preserve">These heads of terms and any dispute arising out of them are governed by English law and subject to the exclusive jurisdiction of the English courts.</w:t>
            </w:r>
          </w:p>
        </w:tc>
      </w:tr>
    </w:tbl>
    <w:p>
      <w:pPr>
        <w:spacing w:after="120" w:line="276"/>
        <w:jc w:val="both"/>
      </w:pPr>
      <w:r>
        <w:t xml:space="preserve"/>
      </w:r>
    </w:p>
    <w:p>
      <w:pPr>
        <w:spacing w:after="120" w:line="276"/>
        <w:jc w:val="both"/>
      </w:pPr>
      <w:r>
        <w:t xml:space="preserve">Indicative timetable: NDA signed 13 October 2025; due diligence October–November 2025; first draft SPA late November 2025; signing and completion targeted for January 2026.</w:t>
      </w:r>
    </w:p>
    <w:p>
      <w:pPr>
        <w:spacing w:after="200" w:line="276"/>
        <w:jc w:val="both"/>
      </w:pPr>
      <w:r>
        <w:t xml:space="preserve">Agreed in principle (subject to contract):</w:t>
      </w:r>
    </w:p>
    <w:p>
      <w:pPr>
        <w:spacing w:after="120" w:line="276"/>
        <w:jc w:val="both"/>
      </w:pPr>
      <w:r>
        <w:t xml:space="preserve">..............................   for and on behalf of Kingsford Group Limited</w:t>
      </w:r>
    </w:p>
    <w:p>
      <w:pPr>
        <w:spacing w:after="120" w:line="276"/>
        <w:jc w:val="both"/>
      </w:pPr>
      <w:r>
        <w:t xml:space="preserve">..............................   for and on behalf of the Sellers (G. Brampton, Sellers' Representative)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rFonts w:ascii="Arial" w:cs="Arial" w:eastAsia="Arial" w:hAnsi="Arial"/>
        <w:color w:val="888888"/>
        <w:sz w:val="14"/>
        <w:szCs w:val="14"/>
      </w:rPr>
      <w:t xml:space="preserve">Project Atlas — Heads of Terms — 24 October 2025</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30"/>
        <w:szCs w:val="30"/>
      </w:rPr>
      <w:t xml:space="preserve">Whitfield Carter LLP</w:t>
    </w:r>
  </w:p>
  <w:p>
    <w:pPr>
      <w:pBdr>
        <w:bottom w:val="single" w:color="1F3864" w:sz="6" w:space="2"/>
      </w:pBdr>
      <w:spacing w:after="40"/>
    </w:pPr>
    <w:r>
      <w:rPr>
        <w:rFonts w:ascii="Arial" w:cs="Arial" w:eastAsia="Arial" w:hAnsi="Arial"/>
        <w:color w:val="555555"/>
        <w:sz w:val="15"/>
        <w:szCs w:val="15"/>
      </w:rPr>
      <w:t xml:space="preserve">22 Bishopsgate, London EC2N 4BQ   |   Project Atlas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2026-06-10T22:34:04.206Z</dcterms:created>
  <dcterms:modified xsi:type="dcterms:W3CDTF">2026-06-10T22:34:04.206Z</dcterms:modified>
</cp:coreProperties>
</file>

<file path=docProps/custom.xml><?xml version="1.0" encoding="utf-8"?>
<Properties xmlns="http://schemas.openxmlformats.org/officeDocument/2006/custom-properties" xmlns:vt="http://schemas.openxmlformats.org/officeDocument/2006/docPropsVTypes"/>
</file>