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jc w:val="center"/>
      </w:pPr>
      <w:r>
        <w:rPr>
          <w:b/>
          <w:bCs/>
          <w:sz w:val="28"/>
          <w:szCs w:val="28"/>
        </w:rPr>
        <w:t xml:space="preserve">CONFIDENTIALITY AND NON-DISCLOSURE AGREEMENT</w:t>
      </w:r>
    </w:p>
    <w:p>
      <w:pPr>
        <w:spacing w:after="240" w:line="276"/>
        <w:jc w:val="center"/>
      </w:pPr>
      <w:r>
        <w:rPr>
          <w:b/>
          <w:bCs/>
        </w:rPr>
        <w:t xml:space="preserve">DATED 13 OCTOBER 2025</w:t>
      </w:r>
    </w:p>
    <w:p>
      <w:pPr>
        <w:spacing w:after="120" w:line="276"/>
        <w:jc w:val="both"/>
      </w:pPr>
      <w:r>
        <w:rPr>
          <w:b/>
          <w:bCs/>
        </w:rPr>
        <w:t xml:space="preserve">PARTIES</w:t>
      </w:r>
    </w:p>
    <w:p>
      <w:pPr>
        <w:tabs>
          <w:tab w:val="left" w:pos="600"/>
        </w:tabs>
        <w:spacing w:after="120" w:line="276"/>
        <w:ind w:left="600" w:hanging="600"/>
        <w:jc w:val="both"/>
      </w:pPr>
      <w:r>
        <w:t xml:space="preserve">(1)	</w:t>
      </w:r>
      <w:r>
        <w:t xml:space="preserve">KINGSFORD GROUP LIMITED, a company incorporated in England and Wales (registered number 04829173) whose registered office is at 1 Finsbury Avenue, London EC2M 2PF (“Kingsford”); and</w:t>
      </w:r>
    </w:p>
    <w:p>
      <w:pPr>
        <w:tabs>
          <w:tab w:val="left" w:pos="600"/>
        </w:tabs>
        <w:spacing w:after="120" w:line="276"/>
        <w:ind w:left="600" w:hanging="600"/>
        <w:jc w:val="both"/>
      </w:pPr>
      <w:r>
        <w:t xml:space="preserve">(2)	</w:t>
      </w:r>
      <w:r>
        <w:t xml:space="preserve">BRAMPTON LEISURE LIMITED, a company incorporated in England and Wales (registered number 05512984) whose registered office is at Brampton House, 40 Wellington Street, Leeds LS1 2DE (the “Company”),</w:t>
      </w:r>
    </w:p>
    <w:p>
      <w:pPr>
        <w:spacing w:after="120" w:line="276"/>
        <w:jc w:val="both"/>
      </w:pPr>
      <w:r>
        <w:t xml:space="preserve">each a “party” and together the “parties”.</w:t>
      </w:r>
    </w:p>
    <w:p>
      <w:pPr>
        <w:spacing w:after="120" w:line="276"/>
        <w:jc w:val="both"/>
      </w:pPr>
      <w:r>
        <w:rPr>
          <w:b/>
          <w:bCs/>
        </w:rPr>
        <w:t xml:space="preserve">BACKGROUND</w:t>
      </w:r>
    </w:p>
    <w:p>
      <w:pPr>
        <w:spacing w:after="120" w:line="276"/>
        <w:jc w:val="both"/>
      </w:pPr>
      <w:r>
        <w:t xml:space="preserve">The parties wish to explore a possible transaction involving the acquisition by Kingsford of the entire issued share capital of the Company (the “Proposed Transaction”). In connection with the Proposed Transaction each party may disclose Confidential Information to the other. This Agreement sets out the terms on which such Confidential Information is to be treated.</w:t>
      </w:r>
    </w:p>
    <w:p>
      <w:pPr>
        <w:spacing w:after="120" w:line="276"/>
        <w:jc w:val="both"/>
      </w:pPr>
      <w:r>
        <w:rPr>
          <w:b/>
          <w:bCs/>
        </w:rPr>
        <w:t xml:space="preserve">IT IS AGREED:</w:t>
      </w:r>
    </w:p>
    <w:p>
      <w:pPr>
        <w:pStyle w:val="Heading1"/>
      </w:pPr>
      <w:r>
        <w:t xml:space="preserve">1.  Definitions</w:t>
      </w:r>
    </w:p>
    <w:p>
      <w:pPr>
        <w:tabs>
          <w:tab w:val="left" w:pos="600"/>
        </w:tabs>
        <w:spacing w:after="120" w:line="276"/>
        <w:ind w:left="600" w:hanging="600"/>
        <w:jc w:val="both"/>
      </w:pPr>
      <w:r>
        <w:t xml:space="preserve">1.1	</w:t>
      </w:r>
      <w:r>
        <w:t xml:space="preserve">“Confidential Information” means all information (whether written, oral, electronic or in any other form) disclosed by or on behalf of one party (the “Disclosing Party”) to the other (the “Receiving Party”) in connection with the Proposed Transaction, including the existence and terms of the Proposed Transaction, the business, financial affairs, customers, members, suppliers, employees, know-how and trade secrets of the Disclosing Party and its group, together with all analyses, notes and other material derived from such information.</w:t>
      </w:r>
    </w:p>
    <w:p>
      <w:pPr>
        <w:tabs>
          <w:tab w:val="left" w:pos="600"/>
        </w:tabs>
        <w:spacing w:after="120" w:line="276"/>
        <w:ind w:left="600" w:hanging="600"/>
        <w:jc w:val="both"/>
      </w:pPr>
      <w:r>
        <w:t xml:space="preserve">1.2	</w:t>
      </w:r>
      <w:r>
        <w:t xml:space="preserve">“Purpose” means the evaluation, negotiation, structuring and (if agreed) implementation of the Proposed Transaction.</w:t>
      </w:r>
    </w:p>
    <w:p>
      <w:pPr>
        <w:tabs>
          <w:tab w:val="left" w:pos="600"/>
        </w:tabs>
        <w:spacing w:after="120" w:line="276"/>
        <w:ind w:left="600" w:hanging="600"/>
        <w:jc w:val="both"/>
      </w:pPr>
      <w:r>
        <w:t xml:space="preserve">1.3	</w:t>
      </w:r>
      <w:r>
        <w:t xml:space="preserve">“Representatives” means, in relation to a party, its directors, officers, employees, professional advisers and prospective financiers who need to know the Confidential Information for the Purpose.</w:t>
      </w:r>
    </w:p>
    <w:p>
      <w:pPr>
        <w:pStyle w:val="Heading1"/>
      </w:pPr>
      <w:r>
        <w:t xml:space="preserve">2.  Confidentiality undertakings</w:t>
      </w:r>
    </w:p>
    <w:p>
      <w:pPr>
        <w:tabs>
          <w:tab w:val="left" w:pos="600"/>
        </w:tabs>
        <w:spacing w:after="120" w:line="276"/>
        <w:ind w:left="600" w:hanging="600"/>
        <w:jc w:val="both"/>
      </w:pPr>
      <w:r>
        <w:t xml:space="preserve">2.1	</w:t>
      </w:r>
      <w:r>
        <w:t xml:space="preserve">The Receiving Party shall keep the Confidential Information secret and confidential and shall not use or exploit it in any way except for the Purpose, and shall not disclose it to any person other than its Representatives in accordance with clause 2.2.</w:t>
      </w:r>
    </w:p>
    <w:p>
      <w:pPr>
        <w:tabs>
          <w:tab w:val="left" w:pos="600"/>
        </w:tabs>
        <w:spacing w:after="120" w:line="276"/>
        <w:ind w:left="600" w:hanging="600"/>
        <w:jc w:val="both"/>
      </w:pPr>
      <w:r>
        <w:t xml:space="preserve">2.2	</w:t>
      </w:r>
      <w:r>
        <w:t xml:space="preserve">The Receiving Party may disclose Confidential Information to those of its Representatives who need to know it for the Purpose, provided that the Receiving Party procures that each such Representative complies with this Agreement as if it were a party, and the Receiving Party is responsible for any breach of this Agreement by any of its Representatives.</w:t>
      </w:r>
    </w:p>
    <w:p>
      <w:pPr>
        <w:tabs>
          <w:tab w:val="left" w:pos="600"/>
        </w:tabs>
        <w:spacing w:after="120" w:line="276"/>
        <w:ind w:left="600" w:hanging="600"/>
        <w:jc w:val="both"/>
      </w:pPr>
      <w:r>
        <w:t xml:space="preserve">2.3	</w:t>
      </w:r>
      <w:r>
        <w:t xml:space="preserve">The Receiving Party shall apply the same standard of care to the Confidential Information as it applies to its own confidential information of similar importance, and in any event no less than a reasonable standard of care.</w:t>
      </w:r>
    </w:p>
    <w:p>
      <w:pPr>
        <w:pStyle w:val="Heading1"/>
      </w:pPr>
      <w:r>
        <w:t xml:space="preserve">3.  Exceptions</w:t>
      </w:r>
    </w:p>
    <w:p>
      <w:pPr>
        <w:tabs>
          <w:tab w:val="left" w:pos="600"/>
        </w:tabs>
        <w:spacing w:after="120" w:line="276"/>
        <w:ind w:left="600" w:hanging="600"/>
        <w:jc w:val="both"/>
      </w:pPr>
      <w:r>
        <w:t xml:space="preserve">3.1	</w:t>
      </w:r>
      <w:r>
        <w:t xml:space="preserve">The obligations in clause 2 do not apply to Confidential Information which: (a) is or becomes generally available to the public other than as a result of a breach of this Agreement; (b) was lawfully in the possession of the Receiving Party before disclosure; (c) is lawfully obtained from a third party who owes no obligation of confidence in respect of it; or (d) is independently developed by the Receiving Party without use of the Confidential Information.</w:t>
      </w:r>
    </w:p>
    <w:p>
      <w:pPr>
        <w:tabs>
          <w:tab w:val="left" w:pos="600"/>
        </w:tabs>
        <w:spacing w:after="120" w:line="276"/>
        <w:ind w:left="600" w:hanging="600"/>
        <w:jc w:val="both"/>
      </w:pPr>
      <w:r>
        <w:t xml:space="preserve">3.2	</w:t>
      </w:r>
      <w:r>
        <w:t xml:space="preserve">The Receiving Party may disclose Confidential Information to the extent required by law, court order or any regulatory authority, provided that, to the extent permitted, it gives the Disclosing Party reasonable prior notice of such disclosure.</w:t>
      </w:r>
    </w:p>
    <w:p>
      <w:pPr>
        <w:pStyle w:val="Heading1"/>
      </w:pPr>
      <w:r>
        <w:t xml:space="preserve">4.  No representation; no offer</w:t>
      </w:r>
    </w:p>
    <w:p>
      <w:pPr>
        <w:tabs>
          <w:tab w:val="left" w:pos="600"/>
        </w:tabs>
        <w:spacing w:after="120" w:line="276"/>
        <w:ind w:left="600" w:hanging="600"/>
        <w:jc w:val="both"/>
      </w:pPr>
      <w:r>
        <w:t xml:space="preserve">4.1	</w:t>
      </w:r>
      <w:r>
        <w:t xml:space="preserve">Neither party makes any representation or warranty as to the accuracy or completeness of the Confidential Information. Nothing in this Agreement obliges either party to disclose any information, to continue discussions or negotiations, or to proceed with the Proposed Transaction, and no contract for the Proposed Transaction will arise unless and until a definitive written agreement is executed.</w:t>
      </w:r>
    </w:p>
    <w:p>
      <w:pPr>
        <w:pStyle w:val="Heading1"/>
      </w:pPr>
      <w:r>
        <w:t xml:space="preserve">5.  Non-solicitation</w:t>
      </w:r>
    </w:p>
    <w:p>
      <w:pPr>
        <w:tabs>
          <w:tab w:val="left" w:pos="600"/>
        </w:tabs>
        <w:spacing w:after="120" w:line="276"/>
        <w:ind w:left="600" w:hanging="600"/>
        <w:jc w:val="both"/>
      </w:pPr>
      <w:r>
        <w:t xml:space="preserve">5.1	</w:t>
      </w:r>
      <w:r>
        <w:t xml:space="preserve">For the period of 12 months from the date of this Agreement, Kingsford shall not, without the prior written consent of the Company, solicit for employment any senior employee of the Company with whom it has had contact in connection with the Proposed Transaction, save that this shall not prevent the employment of any person who responds to a bona fide public recruitment advertisement not specifically targeted at such employees.</w:t>
      </w:r>
    </w:p>
    <w:p>
      <w:pPr>
        <w:pStyle w:val="Heading1"/>
      </w:pPr>
      <w:r>
        <w:t xml:space="preserve">6.  Return or destruction</w:t>
      </w:r>
    </w:p>
    <w:p>
      <w:pPr>
        <w:tabs>
          <w:tab w:val="left" w:pos="600"/>
        </w:tabs>
        <w:spacing w:after="120" w:line="276"/>
        <w:ind w:left="600" w:hanging="600"/>
        <w:jc w:val="both"/>
      </w:pPr>
      <w:r>
        <w:t xml:space="preserve">6.1	</w:t>
      </w:r>
      <w:r>
        <w:t xml:space="preserve">On the written request of the Disclosing Party, and in any event if the parties decide not to proceed with the Proposed Transaction, the Receiving Party shall promptly return or destroy (and, if requested, certify the destruction of) all Confidential Information, save that it may retain one copy to the extent required by law or its bona fide internal record-keeping or compliance policies, which copy shall remain subject to this Agreement.</w:t>
      </w:r>
    </w:p>
    <w:p>
      <w:pPr>
        <w:pStyle w:val="Heading1"/>
      </w:pPr>
      <w:r>
        <w:t xml:space="preserve">7.  Term</w:t>
      </w:r>
    </w:p>
    <w:p>
      <w:pPr>
        <w:tabs>
          <w:tab w:val="left" w:pos="600"/>
        </w:tabs>
        <w:spacing w:after="120" w:line="276"/>
        <w:ind w:left="600" w:hanging="600"/>
        <w:jc w:val="both"/>
      </w:pPr>
      <w:r>
        <w:t xml:space="preserve">7.1	</w:t>
      </w:r>
      <w:r>
        <w:t xml:space="preserve">The obligations in this Agreement shall continue for a period of 2 years from the date of this Agreement, notwithstanding any termination of discussions in relation to the Proposed Transaction.</w:t>
      </w:r>
    </w:p>
    <w:p>
      <w:pPr>
        <w:pStyle w:val="Heading1"/>
      </w:pPr>
      <w:r>
        <w:t xml:space="preserve">8.  General</w:t>
      </w:r>
    </w:p>
    <w:p>
      <w:pPr>
        <w:tabs>
          <w:tab w:val="left" w:pos="600"/>
        </w:tabs>
        <w:spacing w:after="120" w:line="276"/>
        <w:ind w:left="600" w:hanging="600"/>
        <w:jc w:val="both"/>
      </w:pPr>
      <w:r>
        <w:t xml:space="preserve">8.1	</w:t>
      </w:r>
      <w:r>
        <w:t xml:space="preserve">Each party acknowledges that damages alone may not be an adequate remedy for breach of this Agreement and that the Disclosing Party shall be entitled to seek injunctive or other equitable relief.</w:t>
      </w:r>
    </w:p>
    <w:p>
      <w:pPr>
        <w:tabs>
          <w:tab w:val="left" w:pos="600"/>
        </w:tabs>
        <w:spacing w:after="120" w:line="276"/>
        <w:ind w:left="600" w:hanging="600"/>
        <w:jc w:val="both"/>
      </w:pPr>
      <w:r>
        <w:t xml:space="preserve">8.2	</w:t>
      </w:r>
      <w:r>
        <w:t xml:space="preserve">This Agreement constitutes the entire agreement between the parties in relation to its subject matter. No variation is effective unless in writing and signed by or on behalf of each party. A person who is not a party has no right to enforce any term of this Agreement.</w:t>
      </w:r>
    </w:p>
    <w:p>
      <w:pPr>
        <w:tabs>
          <w:tab w:val="left" w:pos="600"/>
        </w:tabs>
        <w:spacing w:after="120" w:line="276"/>
        <w:ind w:left="600" w:hanging="600"/>
        <w:jc w:val="both"/>
      </w:pPr>
      <w:r>
        <w:t xml:space="preserve">8.3	</w:t>
      </w:r>
      <w:r>
        <w:t xml:space="preserve">This Agreement and any non-contractual obligations arising out of or in connection with it are governed by the law of England and Wales, and the parties submit to the exclusive jurisdiction of the courts of England and Wales.</w:t>
      </w:r>
    </w:p>
    <w:p>
      <w:pPr>
        <w:spacing w:after="240" w:line="276"/>
        <w:jc w:val="both"/>
      </w:pPr>
      <w:r>
        <w:t xml:space="preserve">Signed for and on behalf of the parties:</w:t>
      </w:r>
    </w:p>
    <w:p>
      <w:pPr>
        <w:spacing w:after="40" w:line="276"/>
        <w:jc w:val="both"/>
      </w:pPr>
      <w:r>
        <w:t xml:space="preserve">...................................................</w:t>
      </w:r>
    </w:p>
    <w:p>
      <w:pPr>
        <w:spacing w:after="200" w:line="276"/>
        <w:jc w:val="both"/>
      </w:pPr>
      <w:r>
        <w:rPr>
          <w:i/>
          <w:iCs/>
          <w:sz w:val="18"/>
          <w:szCs w:val="18"/>
        </w:rPr>
        <w:t xml:space="preserve">For and on behalf of KINGSFORD GROUP LIMITED</w:t>
      </w:r>
    </w:p>
    <w:p>
      <w:pPr>
        <w:spacing w:after="40" w:line="276"/>
        <w:jc w:val="both"/>
      </w:pPr>
      <w:r>
        <w:t xml:space="preserve">...................................................</w:t>
      </w:r>
    </w:p>
    <w:p>
      <w:pPr>
        <w:spacing w:after="200" w:line="276"/>
        <w:jc w:val="both"/>
      </w:pPr>
      <w:r>
        <w:rPr>
          <w:i/>
          <w:iCs/>
          <w:sz w:val="18"/>
          <w:szCs w:val="18"/>
        </w:rPr>
        <w:t xml:space="preserve">For and on behalf of BRAMPTON LEISURE LIMITED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2"/>
      </w:pBdr>
      <w:tabs>
        <w:tab w:val="right" w:pos="9026"/>
      </w:tabs>
    </w:pPr>
    <w:r>
      <w:rPr>
        <w:rFonts w:ascii="Arial" w:cs="Arial" w:eastAsia="Arial" w:hAnsi="Arial"/>
        <w:color w:val="888888"/>
        <w:sz w:val="14"/>
        <w:szCs w:val="14"/>
      </w:rPr>
      <w:t xml:space="preserve">Project Atlas — Mutual NDA — 13 October 2025</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rFonts w:ascii="Arial" w:cs="Arial" w:eastAsia="Arial" w:hAnsi="Arial"/>
        <w:b/>
        <w:bCs/>
        <w:color w:val="1F3864"/>
        <w:sz w:val="30"/>
        <w:szCs w:val="30"/>
      </w:rPr>
      <w:t xml:space="preserve">Whitfield Carter LLP</w:t>
    </w:r>
  </w:p>
  <w:p>
    <w:pPr>
      <w:pBdr>
        <w:bottom w:val="single" w:color="1F3864" w:sz="6" w:space="2"/>
      </w:pBdr>
      <w:spacing w:after="40"/>
    </w:pPr>
    <w:r>
      <w:rPr>
        <w:rFonts w:ascii="Arial" w:cs="Arial" w:eastAsia="Arial" w:hAnsi="Arial"/>
        <w:color w:val="555555"/>
        <w:sz w:val="15"/>
        <w:szCs w:val="15"/>
      </w:rPr>
      <w:t xml:space="preserve">22 Bishopsgate, London EC2N 4BQ   |   Confidential — Project Atlas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keepNext/>
      <w:spacing w:after="80" w:before="16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2026-06-10T22:34:04.126Z</dcterms:created>
  <dcterms:modified xsi:type="dcterms:W3CDTF">2026-06-10T22:34:04.128Z</dcterms:modified>
</cp:coreProperties>
</file>

<file path=docProps/custom.xml><?xml version="1.0" encoding="utf-8"?>
<Properties xmlns="http://schemas.openxmlformats.org/officeDocument/2006/custom-properties" xmlns:vt="http://schemas.openxmlformats.org/officeDocument/2006/docPropsVTypes"/>
</file>