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b/>
          <w:bCs/>
          <w:color w:val="1F3864"/>
          <w:sz w:val="28"/>
          <w:szCs w:val="28"/>
        </w:rPr>
        <w:t xml:space="preserve">Whitfield Carter LLP</w:t>
      </w:r>
    </w:p>
    <w:p>
      <w:pPr>
        <w:spacing w:after="0"/>
        <w:jc w:val="right"/>
      </w:pPr>
      <w:r>
        <w:rPr>
          <w:color w:val="555555"/>
          <w:sz w:val="18"/>
          <w:szCs w:val="18"/>
        </w:rPr>
        <w:t xml:space="preserve">22 Bishopsgate, London EC2N 4BQ</w:t>
      </w:r>
    </w:p>
    <w:p>
      <w:pPr>
        <w:spacing w:after="40"/>
        <w:jc w:val="right"/>
      </w:pPr>
      <w:r>
        <w:rPr>
          <w:color w:val="555555"/>
          <w:sz w:val="16"/>
          <w:szCs w:val="16"/>
        </w:rPr>
        <w:t xml:space="preserve">Tel +44 (0)20 7946 0100  ·  www.whitfieldcarter.com</w:t>
      </w:r>
    </w:p>
    <w:p>
      <w:pPr>
        <w:pBdr>
          <w:bottom w:val="single" w:color="1F3864" w:sz="8" w:space="1"/>
        </w:pBdr>
        <w:spacing w:after="160"/>
      </w:pP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Project Beacon  ·  Completion 27 March 2026</w:t>
      </w:r>
    </w:p>
    <w:p>
      <w:pPr>
        <w:spacing w:after="160" w:line="276"/>
      </w:pPr>
      <w:r>
        <w:t xml:space="preserve">Acquisition by Kingsford Group Limited of the entire issued share capital of Solstice Wellbeing Holdings Limited. Status as at the completion meeting held remotely by video conference and document exchange.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400"/>
        <w:gridCol w:w="2400"/>
        <w:gridCol w:w="1920"/>
      </w:tblGrid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Share purchase agreement (executed counterparts)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WC / Birchall Stone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Signed 27 Mar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Disclosure Letter and Disclosure Bundle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Birchall Stone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Tax Deed (executed)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WC / Birchall Stone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Signed 27 Mar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Escrow Letter (executed) and escrow account opened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WC / Birchall Stone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Account open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Board minutes of the Company approving transfers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Company Sec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Board minutes of the Buyer approving acquisition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Kingsford Co Sec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Stock transfer forms (1,000,000 ords) duly executed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Held by WC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Share certificates in respect of the Shares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Resignations of resigning directors and secretary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Statutory registers, minute books and seals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Release of personal guarantees (Reading, Croydon leases)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Sellers' bank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Service agreements (G. Solstice; D. Forsythe)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Signed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Consultancy agreement (A. Solstice)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Signed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W&amp;I insurance policy incepted (Marsden Underwriting)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Broker / WC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Incepted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Funds flow statement agreed and signed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WC / Buyer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Payment of net initial cash consideration (£15,300,000)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 be sent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Payment of Escrow Amount (£1,000,000) to escrow account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 be sent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Bring-down of warranties / no MAC confirmation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Updated Companies House filings (PSC, directors)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Kingsford Co Sec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Post-completion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Stamping of stock transfer forms (SDRT, £nil — see note)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Post-completion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60" w:line="276"/>
      </w:pPr>
      <w:r>
        <w:t xml:space="preserve">Note (item 20): the stock transfer forms are exempt from stamp duty / SDRT on the basis that consideration is satisfied otherwise than in money or money's worth has been considered and rejected; ad valorem stamp duty at 0.5% on £16,300,000 (£81,500) is payable and will be submitted to HMRC within 30 days of completion. [To be confirmed by tax team — see internal note.]</w:t>
      </w:r>
    </w:p>
    <w:p>
      <w:pPr>
        <w:spacing w:after="120" w:line="276"/>
      </w:pPr>
      <w:r>
        <w:t xml:space="preserve">Prepared by: Elena Marchetti, Whitfield Carter LLP. Reviewed by: James Osei.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026"/>
      </w:tabs>
      <w:spacing w:before="60"/>
    </w:pPr>
    <w:r>
      <w:rPr>
        <w:color w:val="777777"/>
        <w:sz w:val="14"/>
        <w:szCs w:val="14"/>
      </w:rPr>
      <w:t xml:space="preserve">Confidential and may be legally privileged.	</w:t>
    </w:r>
    <w:r>
      <w:rPr>
        <w:color w:val="777777"/>
        <w:sz w:val="14"/>
        <w:szCs w:val="14"/>
      </w:rPr>
      <w:t xml:space="preserve">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2026-06-25T18:43:36.432Z</dcterms:created>
  <dcterms:modified xsi:type="dcterms:W3CDTF">2026-06-25T18:43:36.432Z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