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color w:val="1F3864"/>
          <w:sz w:val="28"/>
          <w:szCs w:val="28"/>
        </w:rPr>
        <w:t xml:space="preserve">Whitfield Carter LLP</w:t>
      </w:r>
    </w:p>
    <w:p>
      <w:pPr>
        <w:spacing w:after="0"/>
        <w:jc w:val="right"/>
      </w:pPr>
      <w:r>
        <w:rPr>
          <w:color w:val="555555"/>
          <w:sz w:val="18"/>
          <w:szCs w:val="18"/>
        </w:rPr>
        <w:t xml:space="preserve">22 Bishopsgate, London EC2N 4BQ</w:t>
      </w:r>
    </w:p>
    <w:p>
      <w:pPr>
        <w:spacing w:after="40"/>
        <w:jc w:val="right"/>
      </w:pPr>
      <w:r>
        <w:rPr>
          <w:color w:val="555555"/>
          <w:sz w:val="16"/>
          <w:szCs w:val="16"/>
        </w:rPr>
        <w:t xml:space="preserve">Tel +44 (0)20 7946 0100  ·  www.whitfieldcarter.com</w:t>
      </w:r>
    </w:p>
    <w:p>
      <w:pPr>
        <w:pBdr>
          <w:bottom w:val="single" w:color="1F3864" w:sz="8" w:space="1"/>
        </w:pBdr>
        <w:spacing w:after="160"/>
      </w:pPr>
    </w:p>
    <w:p>
      <w:pPr>
        <w:spacing w:after="120" w:line="276"/>
      </w:pPr>
      <w:r>
        <w:rPr>
          <w:b/>
          <w:bCs/>
        </w:rPr>
        <w:t xml:space="preserve">STRICTLY PRIVATE AND CONFIDENTIAL</w:t>
      </w:r>
    </w:p>
    <w:p>
      <w:pPr>
        <w:spacing w:after="120" w:line="276"/>
      </w:pPr>
      <w:r>
        <w:t xml:space="preserve">The Directors  ·  Kingsford Group Limited  ·  1 Kingsford House, Pall Mall, London SW1Y 5EA</w:t>
      </w:r>
    </w:p>
    <w:p>
      <w:pPr>
        <w:spacing w:after="160" w:line="276"/>
      </w:pPr>
      <w:r>
        <w:t xml:space="preserve">27 March 2026</w:t>
      </w:r>
    </w:p>
    <w:p>
      <w:pPr>
        <w:spacing w:after="200"/>
        <w:jc w:val="center"/>
      </w:pPr>
      <w:r>
        <w:rPr>
          <w:b/>
          <w:bCs/>
          <w:sz w:val="26"/>
          <w:szCs w:val="26"/>
        </w:rPr>
        <w:t xml:space="preserve">DISCLOSURE LETTER — PROJECT BEACON</w:t>
      </w:r>
    </w:p>
    <w:p>
      <w:pPr>
        <w:spacing w:after="120" w:line="276"/>
      </w:pPr>
      <w:r>
        <w:t xml:space="preserve">Dear Sirs</w:t>
      </w:r>
    </w:p>
    <w:p>
      <w:pPr>
        <w:spacing w:after="120" w:line="276"/>
      </w:pPr>
      <w:r>
        <w:rPr>
          <w:b/>
          <w:bCs/>
        </w:rPr>
        <w:t xml:space="preserve">Sale and purchase of the entire issued share capital of Solstice Wellbeing Holdings Limited</w:t>
      </w:r>
    </w:p>
    <w:p>
      <w:pPr>
        <w:spacing w:after="160" w:line="276"/>
      </w:pPr>
      <w:r>
        <w:t xml:space="preserve">This is the Disclosure Letter referred to in the share purchase agreement of today's date between the Sellers (1) and Kingsford Group Limited (2) (the Agreement). Words and expressions defined in the Agreement have the same meaning in this letter. This letter is given subject to, and qualifies, the Warranties.</w:t>
      </w:r>
    </w:p>
    <w:p>
      <w:pPr>
        <w:pStyle w:val="Heading1"/>
      </w:pPr>
      <w:r>
        <w:t xml:space="preserve">1.	General Disclosures</w:t>
      </w:r>
    </w:p>
    <w:p>
      <w:pPr>
        <w:spacing w:after="160" w:line="276"/>
      </w:pPr>
      <w:r>
        <w:t xml:space="preserve">The Buyer is treated as having actual knowledge of, and the Warranties are qualified by, all matters which are: (a) fairly disclosed in this letter or the Disclosure Bundle; (b) provided for or noted in the Accounts or the Management Accounts; (c) contained in the documents in the Data Room (index at Appendix 1); (d) apparent from the statutory registers and filed accounts of each Group Company at Companies House; and (e) which would be revealed by searches at HM Land Registry, the Intellectual Property Office and the Insolvency Register undertaken two Business Days before the date of this letter.</w:t>
      </w:r>
    </w:p>
    <w:p>
      <w:pPr>
        <w:pStyle w:val="Heading1"/>
      </w:pPr>
      <w:r>
        <w:t xml:space="preserve">2.	Specific Disclosures</w:t>
      </w:r>
    </w:p>
    <w:p>
      <w:pPr>
        <w:spacing w:after="120" w:line="276"/>
      </w:pPr>
      <w:r>
        <w:t xml:space="preserve">The following specific disclosures are made against the Warranties identified. The numbering follows Schedule 4 of the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200"/>
        <w:gridCol w:w="3060"/>
      </w:tblGrid>
      <w:tr>
        <w:tc>
          <w:tcPr>
            <w:tcW w:type="dxa" w:w="11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r>
              <w:rPr>
                <w:b/>
                <w:bCs/>
              </w:rPr>
              <w:t xml:space="preserve">Warranty</w:t>
            </w:r>
          </w:p>
        </w:tc>
        <w:tc>
          <w:tcPr>
            <w:tcW w:type="dxa" w:w="52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r>
              <w:rPr>
                <w:b/>
                <w:bCs/>
              </w:rPr>
              <w:t xml:space="preserve">Disclosure</w:t>
            </w:r>
          </w:p>
        </w:tc>
        <w:tc>
          <w:tcPr>
            <w:tcW w:type="dxa" w:w="306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r>
              <w:rPr>
                <w:b/>
                <w:bCs/>
              </w:rPr>
              <w:t xml:space="preserve">Data Room ref.</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2.3</w:t>
            </w:r>
          </w:p>
        </w:tc>
        <w:tc>
          <w:tcPr>
            <w:tcW w:type="dxa" w:w="5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A pre-completion dividend of £150,000 was declared on 6 March 2026 (Permitted Leakage). Lumen Digital Limited recognised £42,000 of deferred subscription revenue reclassified in the February management accounts.</w:t>
            </w:r>
          </w:p>
        </w:tc>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2.1, 2.4</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3.1</w:t>
            </w:r>
          </w:p>
        </w:tc>
        <w:tc>
          <w:tcPr>
            <w:tcW w:type="dxa" w:w="5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The Brighton flagship studio lease (Lansdowne Mews) contains a landlord break at the fifth anniversary (June 2027); a rent review is outstanding for the Guildford studio.</w:t>
            </w:r>
          </w:p>
        </w:tc>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5.2, 5.7</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3.2</w:t>
            </w:r>
          </w:p>
        </w:tc>
        <w:tc>
          <w:tcPr>
            <w:tcW w:type="dxa" w:w="5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Two studios (Reading and Croydon) are held on leases with personal guarantees given by Geoffrey Solstice, to be released at Completion.</w:t>
            </w:r>
          </w:p>
        </w:tc>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5.3, 5.9</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4.1</w:t>
            </w:r>
          </w:p>
        </w:tc>
        <w:tc>
          <w:tcPr>
            <w:tcW w:type="dxa" w:w="5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One employee (studio operations manager, Brighton) is on a notice period of six months. A settlement agreement with a former instructor was signed in November 2025 (£12,500).</w:t>
            </w:r>
          </w:p>
        </w:tc>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4.2, 4.6</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5.1</w:t>
            </w:r>
          </w:p>
        </w:tc>
        <w:tc>
          <w:tcPr>
            <w:tcW w:type="dxa" w:w="5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The "Lumen Studios" trade mark application in class 41 received a Notice of Opposition (resolved by co-existence agreement dated January 2026).</w:t>
            </w:r>
          </w:p>
        </w:tc>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6.3</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5.2</w:t>
            </w:r>
          </w:p>
        </w:tc>
        <w:tc>
          <w:tcPr>
            <w:tcW w:type="dxa" w:w="5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The Lumen platform incorporates three open-source components under MIT and Apache 2.0 licences, listed in the software bill of materials.</w:t>
            </w:r>
          </w:p>
        </w:tc>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6.5</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6.2</w:t>
            </w:r>
          </w:p>
        </w:tc>
        <w:tc>
          <w:tcPr>
            <w:tcW w:type="dxa" w:w="5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A member has intimated (but not issued) a personal-injury claim arising from a 2025 studio incident; insurers have been notified and reserve set at £25,000.</w:t>
            </w:r>
          </w:p>
        </w:tc>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7.2</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6.3</w:t>
            </w:r>
          </w:p>
        </w:tc>
        <w:tc>
          <w:tcPr>
            <w:tcW w:type="dxa" w:w="5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An HMRC compliance check into the FY2024 employment-status of certain freelance instructors was opened in October 2025 and remains open.</w:t>
            </w:r>
          </w:p>
        </w:tc>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8.1, 8.4</w:t>
            </w:r>
          </w:p>
        </w:tc>
      </w:tr>
    </w:tbl>
    <w:p>
      <w:pPr>
        <w:spacing w:after="120" w:line="276"/>
      </w:pPr>
      <w:r>
        <w:t xml:space="preserve"/>
      </w:r>
    </w:p>
    <w:p>
      <w:pPr>
        <w:pStyle w:val="Heading1"/>
      </w:pPr>
      <w:r>
        <w:t xml:space="preserve">3.	Appendices</w:t>
      </w:r>
    </w:p>
    <w:p>
      <w:pPr>
        <w:spacing w:after="160" w:line="276"/>
      </w:pPr>
      <w:r>
        <w:t xml:space="preserve">Appendix 1 — Data Room index (Ansarada, downloaded 26 March 2026). Appendix 2 — the Disclosure Bundle. Appendix 3 — the Accounts and Management Accounts.</w:t>
      </w:r>
    </w:p>
    <w:p>
      <w:pPr>
        <w:spacing w:after="160" w:line="276"/>
      </w:pPr>
      <w:r>
        <w:t xml:space="preserve">Yours faithfully</w:t>
      </w:r>
    </w:p>
    <w:p>
      <w:pPr>
        <w:spacing w:after="120" w:line="276"/>
      </w:pPr>
      <w:r>
        <w:t xml:space="preserve">..........................................   For and on behalf of the Sellers   (Geoffrey Solstice, Sellers' Representative)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026"/>
      </w:tabs>
      <w:spacing w:before="60"/>
    </w:pPr>
    <w:r>
      <w:rPr>
        <w:color w:val="777777"/>
        <w:sz w:val="14"/>
        <w:szCs w:val="14"/>
      </w:rPr>
      <w:t xml:space="preserve">Confidential and may be legally privileged.	</w:t>
    </w:r>
    <w:r>
      <w:rPr>
        <w:color w:val="777777"/>
        <w:sz w:val="14"/>
        <w:szCs w:val="14"/>
      </w:rPr>
      <w:t xml:space="preserve">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0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2026-06-25T18:43:36.412Z</dcterms:created>
  <dcterms:modified xsi:type="dcterms:W3CDTF">2026-06-25T18:43:36.412Z</dcterms:modified>
</cp:coreProperties>
</file>

<file path=docProps/custom.xml><?xml version="1.0" encoding="utf-8"?>
<Properties xmlns="http://schemas.openxmlformats.org/officeDocument/2006/custom-properties" xmlns:vt="http://schemas.openxmlformats.org/officeDocument/2006/docPropsVTypes"/>
</file>