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555555"/>
          <w:sz w:val="18"/>
          <w:szCs w:val="18"/>
        </w:rPr>
        <w:t xml:space="preserve">22 Bishopsgate, London EC2N 4BQ</w:t>
      </w:r>
    </w:p>
    <w:p>
      <w:pPr>
        <w:spacing w:after="40"/>
        <w:jc w:val="right"/>
      </w:pPr>
      <w:r>
        <w:rPr>
          <w:color w:val="555555"/>
          <w:sz w:val="16"/>
          <w:szCs w:val="16"/>
        </w:rPr>
        <w:t xml:space="preserve">Tel +44 (0)20 7946 0100  ·  www.whitfieldcarter.com</w:t>
      </w:r>
    </w:p>
    <w:p>
      <w:pPr>
        <w:pBdr>
          <w:bottom w:val="single" w:color="1F3864" w:sz="8" w:space="1"/>
        </w:pBdr>
        <w:spacing w:after="160"/>
      </w:pPr>
    </w:p>
    <w:p>
      <w:pPr>
        <w:spacing w:after="60"/>
        <w:jc w:val="center"/>
      </w:pPr>
      <w:r>
        <w:rPr>
          <w:b/>
          <w:bCs/>
          <w:sz w:val="30"/>
          <w:szCs w:val="30"/>
        </w:rPr>
        <w:t xml:space="preserve">HEADS OF TERMS</w:t>
      </w:r>
    </w:p>
    <w:p>
      <w:pPr>
        <w:spacing w:after="40"/>
        <w:jc w:val="center"/>
      </w:pPr>
      <w:r>
        <w:rPr>
          <w:sz w:val="22"/>
          <w:szCs w:val="22"/>
        </w:rPr>
        <w:t xml:space="preserve">Proposed acquisition of Solstice Wellbeing Holdings Limited</w:t>
      </w:r>
    </w:p>
    <w:p>
      <w:pPr>
        <w:spacing w:after="240"/>
        <w:jc w:val="center"/>
      </w:pPr>
      <w:r>
        <w:rPr>
          <w:i/>
          <w:iCs/>
          <w:color w:val="555555"/>
          <w:sz w:val="20"/>
          <w:szCs w:val="20"/>
        </w:rPr>
        <w:t xml:space="preserve">Project Beacon  ·  12 February 2026  ·  Subject to Contract</w:t>
      </w:r>
    </w:p>
    <w:p>
      <w:pPr>
        <w:spacing w:after="160" w:line="276"/>
      </w:pPr>
      <w:r>
        <w:t xml:space="preserve">These heads of terms record the principal terms on which Kingsford Group Limited (the Buyer) proposes to acquire the entire issued share capital of Solstice Wellbeing Holdings Limited (the Company) from the Sellers. Save for paragraphs 9 to 12 (which are binding), these heads of terms are not legally binding and are subject to contract and to satisfactory completion of due diligence.</w:t>
      </w:r>
    </w:p>
    <w:p>
      <w:pPr>
        <w:pStyle w:val="Heading1"/>
      </w:pPr>
      <w:r>
        <w:t xml:space="preserve">1.	The Transaction</w:t>
      </w:r>
    </w:p>
    <w:p>
      <w:pPr>
        <w:tabs>
          <w:tab w:val="left" w:pos="720"/>
        </w:tabs>
        <w:spacing w:after="120" w:line="276"/>
        <w:ind w:left="720" w:hanging="720"/>
      </w:pPr>
      <w:r>
        <w:t xml:space="preserve">1.1	</w:t>
      </w:r>
      <w:r>
        <w:t xml:space="preserve">The Buyer will acquire 100% of the issued share capital of the Company on a cash-free, debt-free basis with a normalised level of working capital.</w:t>
      </w:r>
    </w:p>
    <w:p>
      <w:pPr>
        <w:pStyle w:val="Heading1"/>
      </w:pPr>
      <w:r>
        <w:t xml:space="preserve">2.	Consideration</w:t>
      </w:r>
    </w:p>
    <w:p>
      <w:pPr>
        <w:tabs>
          <w:tab w:val="left" w:pos="720"/>
        </w:tabs>
        <w:spacing w:after="120" w:line="276"/>
        <w:ind w:left="720" w:hanging="720"/>
      </w:pPr>
      <w:r>
        <w:t xml:space="preserve">2.1	</w:t>
      </w:r>
      <w:r>
        <w:t xml:space="preserve">The transaction is based on an enterprise value of £19,500,000. After deduction of estimated net debt of £1,200,000, the equity value is approximately £18,300,000, payable as: (a) £16,300,000 initial cash at completion (subject to a completion accounts adjustment); and (b) earn-out consideration of up to £1,000,000 by reference to FY2026 EBITDA.</w:t>
      </w:r>
    </w:p>
    <w:p>
      <w:pPr>
        <w:tabs>
          <w:tab w:val="left" w:pos="720"/>
        </w:tabs>
        <w:spacing w:after="120" w:line="276"/>
        <w:ind w:left="720" w:hanging="720"/>
      </w:pPr>
      <w:r>
        <w:t xml:space="preserve">2.2	</w:t>
      </w:r>
      <w:r>
        <w:t xml:space="preserve">£1,000,000 of the initial cash consideration will be retained in a joint escrow account for 18 months as security for warranty and tax claims, alongside a buy-side W&amp;I insurance policy.</w:t>
      </w:r>
    </w:p>
    <w:p>
      <w:pPr>
        <w:pStyle w:val="Heading1"/>
      </w:pPr>
      <w:r>
        <w:t xml:space="preserve">3.	Earn-Out</w:t>
      </w:r>
    </w:p>
    <w:p>
      <w:pPr>
        <w:tabs>
          <w:tab w:val="left" w:pos="720"/>
        </w:tabs>
        <w:spacing w:after="120" w:line="276"/>
        <w:ind w:left="720" w:hanging="720"/>
      </w:pPr>
      <w:r>
        <w:t xml:space="preserve">3.1	</w:t>
      </w:r>
      <w:r>
        <w:t xml:space="preserve">The earn-out is payable to the Founder Sellers and is calculated on FY2026 audited EBITDA: nil below £2,400,000; the full £1,000,000 at or above £2,800,000; straight-line in between.</w:t>
      </w:r>
    </w:p>
    <w:p>
      <w:pPr>
        <w:pStyle w:val="Heading1"/>
      </w:pPr>
      <w:r>
        <w:t xml:space="preserve">4.	Conditions</w:t>
      </w:r>
    </w:p>
    <w:p>
      <w:pPr>
        <w:tabs>
          <w:tab w:val="left" w:pos="720"/>
        </w:tabs>
        <w:spacing w:after="120" w:line="276"/>
        <w:ind w:left="720" w:hanging="720"/>
      </w:pPr>
      <w:r>
        <w:t xml:space="preserve">4.1	</w:t>
      </w:r>
      <w:r>
        <w:t xml:space="preserve">Completion is conditional on Buyer board and (if required) shareholder approval, satisfactory legal, financial and commercial due diligence, and no material adverse change.</w:t>
      </w:r>
    </w:p>
    <w:p>
      <w:pPr>
        <w:pStyle w:val="Heading1"/>
      </w:pPr>
      <w:r>
        <w:t xml:space="preserve">5.	Management</w:t>
      </w:r>
    </w:p>
    <w:p>
      <w:pPr>
        <w:tabs>
          <w:tab w:val="left" w:pos="720"/>
        </w:tabs>
        <w:spacing w:after="120" w:line="276"/>
        <w:ind w:left="720" w:hanging="720"/>
      </w:pPr>
      <w:r>
        <w:t xml:space="preserve">5.1	</w:t>
      </w:r>
      <w:r>
        <w:t xml:space="preserve">Geoffrey Solstice and Daniel Forsythe will enter into new service agreements and remain with the business for a minimum of 24 months. Amelia Solstice will step back to a non-executive consultancy role.</w:t>
      </w:r>
    </w:p>
    <w:p>
      <w:pPr>
        <w:pStyle w:val="Heading1"/>
      </w:pPr>
      <w:r>
        <w:t xml:space="preserve">6.	Restrictive Covenants</w:t>
      </w:r>
    </w:p>
    <w:p>
      <w:pPr>
        <w:tabs>
          <w:tab w:val="left" w:pos="720"/>
        </w:tabs>
        <w:spacing w:after="120" w:line="276"/>
        <w:ind w:left="720" w:hanging="720"/>
      </w:pPr>
      <w:r>
        <w:t xml:space="preserve">6.1	</w:t>
      </w:r>
      <w:r>
        <w:t xml:space="preserve">The Founder Sellers will give customary non-compete and non-solicit covenants for three years from completion.</w:t>
      </w:r>
    </w:p>
    <w:p>
      <w:pPr>
        <w:pStyle w:val="Heading1"/>
      </w:pPr>
      <w:r>
        <w:t xml:space="preserve">7.	Protections</w:t>
      </w:r>
    </w:p>
    <w:p>
      <w:pPr>
        <w:tabs>
          <w:tab w:val="left" w:pos="720"/>
        </w:tabs>
        <w:spacing w:after="120" w:line="276"/>
        <w:ind w:left="720" w:hanging="720"/>
      </w:pPr>
      <w:r>
        <w:t xml:space="preserve">7.1	</w:t>
      </w:r>
      <w:r>
        <w:t xml:space="preserve">The Sellers will give customary warranties and a tax covenant, supported by a disclosure letter and the W&amp;I policy. Title, capacity and tax to survive for the statutory periods; general warranties for 18 months.</w:t>
      </w:r>
    </w:p>
    <w:p>
      <w:pPr>
        <w:pStyle w:val="Heading1"/>
      </w:pPr>
      <w:r>
        <w:t xml:space="preserve">8.	Indicative Timetable</w:t>
      </w:r>
    </w:p>
    <w:p>
      <w:pPr>
        <w:tabs>
          <w:tab w:val="left" w:pos="720"/>
        </w:tabs>
        <w:spacing w:after="120" w:line="276"/>
        <w:ind w:left="720" w:hanging="720"/>
      </w:pPr>
      <w:r>
        <w:t xml:space="preserve">8.1	</w:t>
      </w:r>
      <w:r>
        <w:t xml:space="preserve">Due diligence and SPA negotiation through February and March 2026; signing and completion targeted for late March 2026, with a longstop date of 30 April 2026.</w:t>
      </w:r>
    </w:p>
    <w:p>
      <w:pPr>
        <w:pStyle w:val="Heading1"/>
      </w:pPr>
      <w:r>
        <w:t xml:space="preserve">9.	Exclusivity (binding)</w:t>
      </w:r>
    </w:p>
    <w:p>
      <w:pPr>
        <w:tabs>
          <w:tab w:val="left" w:pos="720"/>
        </w:tabs>
        <w:spacing w:after="120" w:line="276"/>
        <w:ind w:left="720" w:hanging="720"/>
      </w:pPr>
      <w:r>
        <w:t xml:space="preserve">9.1	</w:t>
      </w:r>
      <w:r>
        <w:t xml:space="preserve">The Sellers grant the Buyer exclusivity until 30 April 2026 and will not solicit, encourage or enter into discussions with any other party in relation to a sale of the Company during that period.</w:t>
      </w:r>
    </w:p>
    <w:p>
      <w:pPr>
        <w:pStyle w:val="Heading1"/>
      </w:pPr>
      <w:r>
        <w:t xml:space="preserve">10.	Costs (binding)</w:t>
      </w:r>
    </w:p>
    <w:p>
      <w:pPr>
        <w:tabs>
          <w:tab w:val="left" w:pos="720"/>
        </w:tabs>
        <w:spacing w:after="120" w:line="276"/>
        <w:ind w:left="720" w:hanging="720"/>
      </w:pPr>
      <w:r>
        <w:t xml:space="preserve">10.1	</w:t>
      </w:r>
      <w:r>
        <w:t xml:space="preserve">Each party bears its own costs. If the Sellers withdraw in breach of exclusivity, they will reimburse the Buyer's reasonable external adviser costs up to £75,000.</w:t>
      </w:r>
    </w:p>
    <w:p>
      <w:pPr>
        <w:pStyle w:val="Heading1"/>
      </w:pPr>
      <w:r>
        <w:t xml:space="preserve">11.	Confidentiality (binding)</w:t>
      </w:r>
    </w:p>
    <w:p>
      <w:pPr>
        <w:tabs>
          <w:tab w:val="left" w:pos="720"/>
        </w:tabs>
        <w:spacing w:after="120" w:line="276"/>
        <w:ind w:left="720" w:hanging="720"/>
      </w:pPr>
      <w:r>
        <w:t xml:space="preserve">11.1	</w:t>
      </w:r>
      <w:r>
        <w:t xml:space="preserve">The parties will keep these heads of terms and the negotiations confidential, in accordance with the NDA dated 22 January 2026.</w:t>
      </w:r>
    </w:p>
    <w:p>
      <w:pPr>
        <w:pStyle w:val="Heading1"/>
      </w:pPr>
      <w:r>
        <w:t xml:space="preserve">12.	Governing Law (binding)</w:t>
      </w:r>
    </w:p>
    <w:p>
      <w:pPr>
        <w:tabs>
          <w:tab w:val="left" w:pos="720"/>
        </w:tabs>
        <w:spacing w:after="120" w:line="276"/>
        <w:ind w:left="720" w:hanging="720"/>
      </w:pPr>
      <w:r>
        <w:t xml:space="preserve">12.1	</w:t>
      </w:r>
      <w:r>
        <w:t xml:space="preserve">These heads of terms are governed by the law of England and Wales.</w:t>
      </w:r>
    </w:p>
    <w:p>
      <w:pPr>
        <w:spacing w:after="200" w:line="276"/>
      </w:pPr>
      <w:r>
        <w:t xml:space="preserve"/>
      </w:r>
    </w:p>
    <w:p>
      <w:pPr>
        <w:spacing w:after="120" w:line="276"/>
      </w:pPr>
      <w:r>
        <w:rPr>
          <w:b/>
          <w:bCs/>
        </w:rPr>
        <w:t xml:space="preserve">Agreed (subject to contract):</w:t>
      </w:r>
    </w:p>
    <w:p>
      <w:pPr>
        <w:spacing w:after="60" w:line="276"/>
      </w:pPr>
      <w:r>
        <w:t xml:space="preserve">For the Buyer: Nathan Reilly, Kingsford Group Limited ......................   Date: 12 February 2026</w:t>
      </w:r>
    </w:p>
    <w:p>
      <w:pPr>
        <w:spacing w:after="120" w:line="276"/>
      </w:pPr>
      <w:r>
        <w:t xml:space="preserve">For the Sellers: Geoffrey Solstice ......................   Date: 12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Confidential and may be legally privileged.	</w:t>
    </w: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2026-06-25T18:43:36.393Z</dcterms:created>
  <dcterms:modified xsi:type="dcterms:W3CDTF">2026-06-25T18:43:36.393Z</dcterms:modified>
</cp:coreProperties>
</file>

<file path=docProps/custom.xml><?xml version="1.0" encoding="utf-8"?>
<Properties xmlns="http://schemas.openxmlformats.org/officeDocument/2006/custom-properties" xmlns:vt="http://schemas.openxmlformats.org/officeDocument/2006/docPropsVTypes"/>
</file>