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1F3864"/>
          <w:sz w:val="28"/>
          <w:szCs w:val="28"/>
        </w:rPr>
        <w:t xml:space="preserve">Whitfield Carter LLP</w:t>
      </w:r>
    </w:p>
    <w:p>
      <w:pPr>
        <w:spacing w:after="0"/>
        <w:jc w:val="right"/>
      </w:pPr>
      <w:r>
        <w:rPr>
          <w:color w:val="555555"/>
          <w:sz w:val="18"/>
          <w:szCs w:val="18"/>
        </w:rPr>
        <w:t xml:space="preserve">22 Bishopsgate, London EC2N 4BQ</w:t>
      </w:r>
    </w:p>
    <w:p>
      <w:pPr>
        <w:spacing w:after="40"/>
        <w:jc w:val="right"/>
      </w:pPr>
      <w:r>
        <w:rPr>
          <w:color w:val="555555"/>
          <w:sz w:val="16"/>
          <w:szCs w:val="16"/>
        </w:rPr>
        <w:t xml:space="preserve">Tel +44 (0)20 7946 0100  ·  www.whitfieldcarter.com</w:t>
      </w:r>
    </w:p>
    <w:p>
      <w:pPr>
        <w:pBdr>
          <w:bottom w:val="single" w:color="1F3864" w:sz="8" w:space="1"/>
        </w:pBdr>
        <w:spacing w:after="160"/>
      </w:pPr>
    </w:p>
    <w:p>
      <w:pPr>
        <w:spacing w:after="60"/>
        <w:jc w:val="center"/>
      </w:pPr>
      <w:r>
        <w:rPr>
          <w:b/>
          <w:bCs/>
          <w:sz w:val="28"/>
          <w:szCs w:val="28"/>
        </w:rPr>
        <w:t xml:space="preserve">MUTUAL NON-DISCLOSURE AGREEMENT</w:t>
      </w:r>
    </w:p>
    <w:p>
      <w:pPr>
        <w:spacing w:after="240"/>
        <w:jc w:val="center"/>
      </w:pPr>
      <w:r>
        <w:rPr>
          <w:i/>
          <w:iCs/>
          <w:color w:val="555555"/>
          <w:sz w:val="22"/>
          <w:szCs w:val="22"/>
        </w:rPr>
        <w:t xml:space="preserve">Project Beacon</w:t>
      </w:r>
    </w:p>
    <w:p>
      <w:pPr>
        <w:spacing w:after="120" w:line="276"/>
      </w:pPr>
      <w:r>
        <w:rPr>
          <w:b/>
          <w:bCs/>
        </w:rPr>
        <w:t xml:space="preserve">DATED: </w:t>
      </w:r>
      <w:r>
        <w:t xml:space="preserve">22 January 2026</w:t>
      </w:r>
    </w:p>
    <w:p>
      <w:pPr>
        <w:spacing w:after="120" w:line="276"/>
      </w:pPr>
      <w:r>
        <w:rPr>
          <w:b/>
          <w:bCs/>
        </w:rPr>
        <w:t xml:space="preserve">PARTIES:</w:t>
      </w:r>
    </w:p>
    <w:p>
      <w:pPr>
        <w:tabs>
          <w:tab w:val="left" w:pos="720"/>
        </w:tabs>
        <w:spacing w:after="120" w:line="276"/>
        <w:ind w:left="720" w:hanging="720"/>
      </w:pPr>
      <w:r>
        <w:t xml:space="preserve">(1)	</w:t>
      </w:r>
      <w:r>
        <w:t xml:space="preserve">KINGSFORD GROUP LIMITED (registered number 04827193) whose registered office is at 1 Kingsford House, Pall Mall, London SW1Y 5EA (Kingsford); and</w:t>
      </w:r>
    </w:p>
    <w:p>
      <w:pPr>
        <w:tabs>
          <w:tab w:val="left" w:pos="720"/>
        </w:tabs>
        <w:spacing w:after="120" w:line="276"/>
        <w:ind w:left="720" w:hanging="720"/>
      </w:pPr>
      <w:r>
        <w:t xml:space="preserve">(2)	</w:t>
      </w:r>
      <w:r>
        <w:t xml:space="preserve">SOLSTICE WELLBEING HOLDINGS LIMITED (registered number 09918274) whose registered office is at Studio One, 4 Lansdowne Mews, Brighton BN3 1FL (Solstice),</w:t>
      </w:r>
    </w:p>
    <w:p>
      <w:pPr>
        <w:spacing w:after="160" w:line="276"/>
      </w:pPr>
      <w:r>
        <w:t xml:space="preserve">each a "party" and together the "parties".</w:t>
      </w:r>
    </w:p>
    <w:p>
      <w:pPr>
        <w:spacing w:after="120" w:line="276"/>
      </w:pPr>
      <w:r>
        <w:rPr>
          <w:b/>
          <w:bCs/>
        </w:rPr>
        <w:t xml:space="preserve">BACKGROUND</w:t>
      </w:r>
    </w:p>
    <w:p>
      <w:pPr>
        <w:tabs>
          <w:tab w:val="left" w:pos="720"/>
        </w:tabs>
        <w:spacing w:after="120" w:line="276"/>
        <w:ind w:left="720" w:hanging="720"/>
      </w:pPr>
      <w:r>
        <w:t xml:space="preserve">(A)	</w:t>
      </w:r>
      <w:r>
        <w:t xml:space="preserve">The parties wish to explore a possible transaction involving the acquisition by Kingsford of the entire issued share capital of Solstice (the Proposed Transaction).</w:t>
      </w:r>
    </w:p>
    <w:p>
      <w:pPr>
        <w:tabs>
          <w:tab w:val="left" w:pos="720"/>
        </w:tabs>
        <w:spacing w:after="120" w:line="276"/>
        <w:ind w:left="720" w:hanging="720"/>
      </w:pPr>
      <w:r>
        <w:t xml:space="preserve">(B)	</w:t>
      </w:r>
      <w:r>
        <w:t xml:space="preserve">In connection with the Proposed Transaction each party may disclose Confidential Information to the other. This Agreement sets out the terms on which such information is to be treated.</w:t>
      </w:r>
    </w:p>
    <w:p>
      <w:pPr>
        <w:pStyle w:val="Heading1"/>
      </w:pPr>
      <w:r>
        <w:t xml:space="preserve">1.	DEFINITIONS</w:t>
      </w:r>
    </w:p>
    <w:p>
      <w:pPr>
        <w:tabs>
          <w:tab w:val="left" w:pos="720"/>
        </w:tabs>
        <w:spacing w:after="120" w:line="276"/>
        <w:ind w:left="720" w:hanging="720"/>
      </w:pPr>
      <w:r>
        <w:t xml:space="preserve">1.1	</w:t>
      </w:r>
      <w:r>
        <w:t xml:space="preserve">Confidential Information means all information (in whatever form) relating to the business, customers, members, financial affairs, studios, pricing, technology, member databases, strategy or operations of the disclosing party or its group, together with the existence and subject matter of the Proposed Transaction, disclosed before, on or after the date of this Agreement, but excluding information which is or becomes public knowledge other than through breach of this Agreement, was lawfully in the receiving party's possession before disclosure, or is independently developed without reference to the Confidential Information.</w:t>
      </w:r>
    </w:p>
    <w:p>
      <w:pPr>
        <w:pStyle w:val="Heading1"/>
      </w:pPr>
      <w:r>
        <w:t xml:space="preserve">2.	CONFIDENTIALITY UNDERTAKINGS</w:t>
      </w:r>
    </w:p>
    <w:p>
      <w:pPr>
        <w:tabs>
          <w:tab w:val="left" w:pos="720"/>
        </w:tabs>
        <w:spacing w:after="120" w:line="276"/>
        <w:ind w:left="720" w:hanging="720"/>
      </w:pPr>
      <w:r>
        <w:t xml:space="preserve">2.1	</w:t>
      </w:r>
      <w:r>
        <w:t xml:space="preserve">Each party shall keep the other party's Confidential Information confidential and shall not disclose it to any person except as permitted by clause 2.2, and shall use it only for the purpose of evaluating, negotiating, advising on or implementing the Proposed Transaction (the Permitted Purpose).</w:t>
      </w:r>
    </w:p>
    <w:p>
      <w:pPr>
        <w:tabs>
          <w:tab w:val="left" w:pos="720"/>
        </w:tabs>
        <w:spacing w:after="120" w:line="276"/>
        <w:ind w:left="720" w:hanging="720"/>
      </w:pPr>
      <w:r>
        <w:t xml:space="preserve">2.2	</w:t>
      </w:r>
      <w:r>
        <w:t xml:space="preserve">A party may disclose Confidential Information to its directors, employees, professional advisers and financing sources who need to know it for the Permitted Purpose, provided that it procures that each such person complies with this Agreement, and shall be liable for any breach by them.</w:t>
      </w:r>
    </w:p>
    <w:p>
      <w:pPr>
        <w:tabs>
          <w:tab w:val="left" w:pos="720"/>
        </w:tabs>
        <w:spacing w:after="120" w:line="276"/>
        <w:ind w:left="720" w:hanging="720"/>
      </w:pPr>
      <w:r>
        <w:t xml:space="preserve">2.3	</w:t>
      </w:r>
      <w:r>
        <w:t xml:space="preserve">A party may disclose Confidential Information to the extent required by law, any court of competent jurisdiction or any regulatory authority, provided that, where lawful, it gives the other party reasonable prior notice.</w:t>
      </w:r>
    </w:p>
    <w:p>
      <w:pPr>
        <w:pStyle w:val="Heading1"/>
      </w:pPr>
      <w:r>
        <w:t xml:space="preserve">3.	NO REPRESENTATIONS; RETURN OF INFORMATION</w:t>
      </w:r>
    </w:p>
    <w:p>
      <w:pPr>
        <w:tabs>
          <w:tab w:val="left" w:pos="720"/>
        </w:tabs>
        <w:spacing w:after="120" w:line="276"/>
        <w:ind w:left="720" w:hanging="720"/>
      </w:pPr>
      <w:r>
        <w:t xml:space="preserve">3.1	</w:t>
      </w:r>
      <w:r>
        <w:t xml:space="preserve">Neither party makes any representation or warranty as to the accuracy or completeness of its Confidential Information. Each party shall, on written demand, return or destroy all Confidential Information of the other party, save that one copy may be retained for compliance and audit purposes.</w:t>
      </w:r>
    </w:p>
    <w:p>
      <w:pPr>
        <w:pStyle w:val="Heading1"/>
      </w:pPr>
      <w:r>
        <w:t xml:space="preserve">4.	NON-SOLICITATION</w:t>
      </w:r>
    </w:p>
    <w:p>
      <w:pPr>
        <w:tabs>
          <w:tab w:val="left" w:pos="720"/>
        </w:tabs>
        <w:spacing w:after="120" w:line="276"/>
        <w:ind w:left="720" w:hanging="720"/>
      </w:pPr>
      <w:r>
        <w:t xml:space="preserve">4.1	</w:t>
      </w:r>
      <w:r>
        <w:t xml:space="preserve">For 12 months from the date of this Agreement, neither party shall solicit for employment any senior employee of the other party with whom it has had contact in connection with the Proposed Transaction, save that general advertisements not specifically targeted at such persons shall not breach this clause.</w:t>
      </w:r>
    </w:p>
    <w:p>
      <w:pPr>
        <w:pStyle w:val="Heading1"/>
      </w:pPr>
      <w:r>
        <w:t xml:space="preserve">5.	TERM</w:t>
      </w:r>
    </w:p>
    <w:p>
      <w:pPr>
        <w:tabs>
          <w:tab w:val="left" w:pos="720"/>
        </w:tabs>
        <w:spacing w:after="120" w:line="276"/>
        <w:ind w:left="720" w:hanging="720"/>
      </w:pPr>
      <w:r>
        <w:t xml:space="preserve">5.1	</w:t>
      </w:r>
      <w:r>
        <w:t xml:space="preserve">The obligations in this Agreement continue for two years from the date of this Agreement, notwithstanding any termination of discussions relating to the Proposed Transaction.</w:t>
      </w:r>
    </w:p>
    <w:p>
      <w:pPr>
        <w:pStyle w:val="Heading1"/>
      </w:pPr>
      <w:r>
        <w:t xml:space="preserve">6.	GENERAL</w:t>
      </w:r>
    </w:p>
    <w:p>
      <w:pPr>
        <w:tabs>
          <w:tab w:val="left" w:pos="720"/>
        </w:tabs>
        <w:spacing w:after="120" w:line="276"/>
        <w:ind w:left="720" w:hanging="720"/>
      </w:pPr>
      <w:r>
        <w:t xml:space="preserve">6.1	</w:t>
      </w:r>
      <w:r>
        <w:t xml:space="preserve">This Agreement constitutes the entire agreement between the parties in relation to its subject matter. No variation is effective unless in writing and signed by both parties.</w:t>
      </w:r>
    </w:p>
    <w:p>
      <w:pPr>
        <w:tabs>
          <w:tab w:val="left" w:pos="720"/>
        </w:tabs>
        <w:spacing w:after="120" w:line="276"/>
        <w:ind w:left="720" w:hanging="720"/>
      </w:pPr>
      <w:r>
        <w:t xml:space="preserve">6.2	</w:t>
      </w:r>
      <w:r>
        <w:t xml:space="preserve">This Agreement and any dispute arising out of or in connection with it (including non-contractual disputes) are governed by the law of England and Wales, and the parties submit to the exclusive jurisdiction of the courts of England and Wales.</w:t>
      </w:r>
    </w:p>
    <w:p>
      <w:pPr>
        <w:spacing w:after="240" w:line="276"/>
      </w:pPr>
      <w:r>
        <w:t xml:space="preserve"/>
      </w:r>
    </w:p>
    <w:p>
      <w:pPr>
        <w:spacing w:after="120" w:line="276"/>
      </w:pPr>
      <w:r>
        <w:rPr>
          <w:b/>
          <w:bCs/>
        </w:rPr>
        <w:t xml:space="preserve">SIGNED for and on behalf of KINGSFORD GROUP LIMITED</w:t>
      </w:r>
    </w:p>
    <w:p>
      <w:pPr>
        <w:spacing w:after="200" w:line="276"/>
      </w:pPr>
      <w:r>
        <w:t xml:space="preserve">Name: Nathan Reilly   Title: Head of M&amp;A / Corporate Development   Signature: ......................</w:t>
      </w:r>
    </w:p>
    <w:p>
      <w:pPr>
        <w:spacing w:after="120" w:line="276"/>
      </w:pPr>
      <w:r>
        <w:rPr>
          <w:b/>
          <w:bCs/>
        </w:rPr>
        <w:t xml:space="preserve">SIGNED for and on behalf of SOLSTICE WELLBEING HOLDINGS LIMITED</w:t>
      </w:r>
    </w:p>
    <w:p>
      <w:pPr>
        <w:spacing w:after="120" w:line="276"/>
      </w:pPr>
      <w:r>
        <w:t xml:space="preserve">Name: Geoffrey Solstice   Title: Director   Signature: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60"/>
    </w:pPr>
    <w:r>
      <w:rPr>
        <w:color w:val="777777"/>
        <w:sz w:val="14"/>
        <w:szCs w:val="14"/>
      </w:rPr>
      <w:t xml:space="preserve">Confidential and may be legally privileged.	</w:t>
    </w: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0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2026-06-25T18:43:36.345Z</dcterms:created>
  <dcterms:modified xsi:type="dcterms:W3CDTF">2026-06-25T18:43:36.346Z</dcterms:modified>
</cp:coreProperties>
</file>

<file path=docProps/custom.xml><?xml version="1.0" encoding="utf-8"?>
<Properties xmlns="http://schemas.openxmlformats.org/officeDocument/2006/custom-properties" xmlns:vt="http://schemas.openxmlformats.org/officeDocument/2006/docPropsVTypes"/>
</file>