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120"/>
        <w:jc w:val="center"/>
      </w:pPr>
      <w:r>
        <w:rPr>
          <w:b/>
          <w:bCs/>
        </w:rPr>
        <w:t xml:space="preserve">Project Drake — acquisition of Tidewell Marina Holdings Limited</w:t>
      </w:r>
    </w:p>
    <w:p>
      <w:pPr>
        <w:spacing w:after="120"/>
        <w:jc w:val="center"/>
      </w:pPr>
      <w:r>
        <w:rPr>
          <w:i/>
          <w:iCs/>
        </w:rPr>
        <w:t xml:space="preserve">Completion: 15 December 2025</w:t>
      </w:r>
    </w:p>
    <w:p>
      <w:pPr>
        <w:spacing w:after="120"/>
      </w:pPr>
      <w:r>
        <w:t xml:space="preserve">This checklist lists the documents to be signed, exchanged or delivered at or before completion and the responsible party. “B” = Buyer / Whitfield Carter; “S” = Sellers / Birchall Stone.</w:t>
      </w:r>
    </w:p>
    <w:p>
      <w:pPr>
        <w:pStyle w:val="Heading2"/>
      </w:pPr>
      <w:r>
        <w:t xml:space="preserve">A.  PRINCIPAL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1500"/>
        <w:gridCol w:w="25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 purchase agreement (executed)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B/S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 in counterparts 15 Dec 2025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Disclosure letter and Disclosure Bundle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 12 Dec 2025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Tax covenant (Schedule 5 to SPA)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B/S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Within SPA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Escrow agreement (£1,500,000)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B/S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 15 Dec 2025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Disclosure index (data room)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 12 Dec 2025</w:t>
            </w:r>
          </w:p>
        </w:tc>
      </w:tr>
    </w:tbl>
    <w:p>
      <w:pPr>
        <w:pStyle w:val="Heading2"/>
      </w:pPr>
      <w:r>
        <w:t xml:space="preserve">B.  TARGET CORPORATE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1500"/>
        <w:gridCol w:w="25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Stock transfer forms (1,000,000 ordinary shares)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Executed by Sellers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 certificates for the transferred shares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 / indemnity for lost certs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 minutes of the Target approving transfers &amp; resignations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 15 Dec 2025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Resignations of G. Tidewell (as director) and E. Tidewell (as secretary)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 (G. Tidewell retained as consultant)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Statutory registers and company seal (if any)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Landlord’s consent to change of control (Port Solent lease)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 28 Nov 2025</w:t>
            </w:r>
          </w:p>
        </w:tc>
      </w:tr>
    </w:tbl>
    <w:p>
      <w:pPr>
        <w:pStyle w:val="Heading2"/>
      </w:pPr>
      <w:r>
        <w:t xml:space="preserve">C.  BUYER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1500"/>
        <w:gridCol w:w="25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 minutes of Kingsford Group approving the acquisition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 12 Dec 2025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Funds flow statement and CHAPS payment instructions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Agreed 12 Dec 2025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 of cash consideration £19,900,000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CHAPS on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 of escrow amount £1,500,000 to escrow account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CHAPS on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Repayment of net debt £2,100,000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CHAPS on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Consultancy agreement — G. Tidewell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B/S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 15 Dec 2025</w:t>
            </w:r>
          </w:p>
        </w:tc>
      </w:tr>
    </w:tbl>
    <w:p>
      <w:pPr>
        <w:pStyle w:val="Heading2"/>
      </w:pPr>
      <w:r>
        <w:t xml:space="preserve">D.  POST-COMPLETION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Stamping of stock transfer forms and payment of stamp duty (£112,000) within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Filing of resignations and appointments, and updated PSC register, at Companies House.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to landlords, insurers, key suppliers and the Marina Trade Association of the change of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of escrow on the 18-month anniversary, subject to any claims notified.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Determination of the Earn-Out following finalisation of the FY2026 audited accounts.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</w:pPr>
    <w:r>
      <w:rPr>
        <w:color w:val="808080"/>
        <w:sz w:val="14"/>
        <w:szCs w:val="14"/>
      </w:rPr>
      <w:t xml:space="preserve">Project Drake — WC-00148  |  Confidential and may be legally privileged.</w:t>
    </w:r>
    <w:r>
      <w:rPr>
        <w:color w:val="808080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2026-06-26T16:45:22.002Z</dcterms:created>
  <dcterms:modified xsi:type="dcterms:W3CDTF">2026-06-26T16:45:22.002Z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