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sz w:val="16"/>
          <w:szCs w:val="16"/>
        </w:rPr>
        <w:t xml:space="preserve">From: Birchall Stone LLP (for the Sellers)</w:t>
      </w:r>
    </w:p>
    <w:p>
      <w:pPr>
        <w:spacing w:after="120"/>
        <w:jc w:val="right"/>
      </w:pPr>
      <w:r>
        <w:rPr>
          <w:sz w:val="16"/>
          <w:szCs w:val="16"/>
        </w:rPr>
        <w:t xml:space="preserve">To: Whitfield Carter LLP (for the Buyer)</w:t>
      </w:r>
    </w:p>
    <w:p>
      <w:pPr>
        <w:spacing w:after="200"/>
        <w:jc w:val="center"/>
      </w:pPr>
      <w:r>
        <w:rPr>
          <w:b/>
          <w:bCs/>
          <w:sz w:val="28"/>
          <w:szCs w:val="28"/>
        </w:rPr>
        <w:t xml:space="preserve">DISCLOSURE LETTER</w:t>
      </w:r>
    </w:p>
    <w:p>
      <w:pPr>
        <w:spacing w:after="120"/>
        <w:jc w:val="center"/>
      </w:pPr>
      <w:r>
        <w:rPr>
          <w:b/>
          <w:bCs/>
        </w:rPr>
        <w:t xml:space="preserve">Project Drake — acquisition of Tidewell Marina Holdings Limited</w:t>
      </w:r>
    </w:p>
    <w:p>
      <w:pPr>
        <w:spacing w:after="120"/>
      </w:pPr>
      <w:r>
        <w:t xml:space="preserve">Dated 12 December 2025</w:t>
      </w:r>
    </w:p>
    <w:p>
      <w:pPr>
        <w:spacing w:after="120"/>
      </w:pPr>
      <w:r>
        <w:t xml:space="preserve">This letter is the Disclosure Letter referred to in the share purchase agreement of even date (the “Agreement”) between Gregory Tidewell and Eleanor Tidewell (the “Sellers”) and Kingsford Group Limited (the “Buyer”). Terms defined in the Agreement have the same meaning in this letter.</w:t>
      </w:r>
    </w:p>
    <w:p>
      <w:pPr>
        <w:pStyle w:val="Heading2"/>
      </w:pPr>
      <w:r>
        <w:t xml:space="preserve">1.  GENERAL</w:t>
      </w:r>
    </w:p>
    <w:p>
      <w:pPr>
        <w:spacing w:after="120"/>
      </w:pPr>
      <w:r>
        <w:t xml:space="preserve">1.1   The Warranties are given subject to the matters fairly disclosed in this letter (including its Schedule) and to the matters set out in the documents in the disclosure bundle indexed in the Appendix and delivered to the Buyer’s solicitors on or before the date of this letter (the “Disclosure Bundle”). The Buyer shall not be entitled to claim that any fact, matter or circumstance fairly disclosed constitutes a breach of the Warranties.</w:t>
      </w:r>
    </w:p>
    <w:p>
      <w:pPr>
        <w:spacing w:after="120"/>
      </w:pPr>
      <w:r>
        <w:t xml:space="preserve">1.2   This letter contains both general disclosures (matters disclosed against all of the Warranties) and specific disclosures (matters disclosed against particular Warranties by paragraph number). A matter disclosed against one Warranty is treated as disclosed against all Warranties to which it is relevant on its face.</w:t>
      </w:r>
    </w:p>
    <w:p>
      <w:pPr>
        <w:pStyle w:val="Heading2"/>
      </w:pPr>
      <w:r>
        <w:t xml:space="preserve">2.  GENERAL DISCLOSURES</w:t>
      </w:r>
    </w:p>
    <w:p>
      <w:pPr>
        <w:spacing w:after="120"/>
      </w:pPr>
      <w:r>
        <w:t xml:space="preserve">The following matters are disclosed against all of the Warranties: (a) all matters provided for or noted in the audited accounts of the Target for the year ended 31 December 2024 and the management accounts to 30 September 2025; (b) all matters apparent from the entries maintained at Companies House and HM Land Registry in respect of the Target and the Properties as at two business days before the date of this letter; (c) all matters fairly disclosed in the replies to the Buyer’s due diligence enquiries contained in the Disclosure Bundle; and (d) all matters which would be revealed by the usual pre-contract searches against the Properties.</w:t>
      </w:r>
    </w:p>
    <w:p>
      <w:pPr>
        <w:pStyle w:val="Heading2"/>
      </w:pPr>
      <w:r>
        <w:t xml:space="preserve">3.  SPECIFIC DISCLOSURES</w:t>
      </w:r>
    </w:p>
    <w:p>
      <w:pPr>
        <w:spacing w:after="120"/>
      </w:pPr>
      <w:r>
        <w:t xml:space="preserve">Disclosed against Warranty 3 (Accounts): the management accounts to 30 September 2025 are not audited and were prepared on a basis consistent with the audited accounts but include a provision of £85,000 for dilapidations at the Port Solent leasehold site which has not yet been agreed with the landlord.</w:t>
      </w:r>
    </w:p>
    <w:p>
      <w:pPr>
        <w:spacing w:after="120"/>
      </w:pPr>
      <w:r>
        <w:t xml:space="preserve">Disclosed against Warranty 6 (Property): the Port Solent dry-stack facility is held under a lease dated 4 June 2014 for a term of 15 years which contains a tenant-only break at the tenth anniversary (4 June 2024) which was not exercised; and the change of control of the Target requires the prior written consent of the landlord under clause 4.12 of that lease, which consent had been applied for and was granted by letter dated 28 November 2025 (a copy of which is in the Disclosure Bundle).</w:t>
      </w:r>
    </w:p>
    <w:p>
      <w:pPr>
        <w:spacing w:after="120"/>
      </w:pPr>
      <w:r>
        <w:t xml:space="preserve">Disclosed against Warranty 8 (Contracts): the Target’s fuel supply agreement with Solent Marine Fuels Limited dated 1 January 2023 contains a change of control termination right exercisable within 60 days of completion; the supplier has confirmed in writing that it does not intend to exercise that right.</w:t>
      </w:r>
    </w:p>
    <w:p>
      <w:pPr>
        <w:spacing w:after="120"/>
      </w:pPr>
      <w:r>
        <w:t xml:space="preserve">Disclosed against Warranty 11 (Employment): the Target has 64 employees; the harbour master, Mr D. Halloran, is on a notice period of six months and has indicated an intention to retire in 2026; a settlement was reached in March 2025 with a former berthing assistant for £9,500 in full and final settlement of a wrongful dismissal claim, which has been paid.</w:t>
      </w:r>
    </w:p>
    <w:p>
      <w:pPr>
        <w:spacing w:after="120"/>
      </w:pPr>
      <w:r>
        <w:t xml:space="preserve">Disclosed against Warranty 13 (Environmental): a Phase I environmental report dated July 2025 identified historic hydrocarbon contamination in the boatyard hardstanding at the Hamble site; a Phase II investigation is in progress and an indemnity in respect of the cost of any required remediation is given by the Sellers under clause 9.4 of the Agreement, capped at £250,000.</w:t>
      </w:r>
    </w:p>
    <w:p>
      <w:pPr>
        <w:spacing w:after="120"/>
      </w:pPr>
      <w:r>
        <w:t xml:space="preserve">Disclosed against Warranty 16 (Litigation): save for the settled matter disclosed at paragraph 3 above, there is no litigation pending or threatened against the Target other than a debt-recovery claim issued by the Target against a former berth-holder for £4,200 of unpaid mooring fees.</w:t>
      </w:r>
    </w:p>
    <w:p>
      <w:pPr>
        <w:pStyle w:val="Heading2"/>
      </w:pPr>
      <w:r>
        <w:t xml:space="preserve">4.  APPENDIX — DISCLOSURE BUNDLE INDEX</w:t>
      </w:r>
    </w:p>
    <w:p>
      <w:pPr>
        <w:spacing w:after="120"/>
      </w:pPr>
      <w:r>
        <w:t xml:space="preserve">The Disclosure Bundle is indexed in the schedule attached to this letter and comprises the documents made available in the data room, the replies to enquiries, the property title documents and the consents and confirmations referred to above. A full index is maintained in the disclosure index spreadsheet circulated with this letter.</w:t>
      </w:r>
    </w:p>
    <w:p>
      <w:pPr>
        <w:spacing w:before="200"/>
      </w:pPr>
      <w:r>
        <w:t xml:space="preserve">Yours faithfully</w:t>
      </w:r>
    </w:p>
    <w:p>
      <w:pPr>
        <w:spacing w:before="160"/>
      </w:pPr>
      <w:r>
        <w:rPr>
          <w:b/>
          <w:bCs/>
        </w:rPr>
        <w:t xml:space="preserve">Birchall Stone LLP</w:t>
      </w:r>
    </w:p>
    <w:p>
      <w:pPr>
        <w:spacing w:after="120"/>
      </w:pPr>
      <w:r>
        <w:t xml:space="preserve">for and on behalf of the Sellers</w:t>
      </w:r>
    </w:p>
    <w:p>
      <w:pPr>
        <w:spacing w:before="160"/>
      </w:pPr>
      <w:r>
        <w:rPr>
          <w:i/>
          <w:iCs/>
        </w:rPr>
        <w:t xml:space="preserve">Acknowledged and accepted on behalf of the Buyer (without prejudice to its rights under the Agreement):</w:t>
      </w:r>
    </w:p>
    <w:p>
      <w:pPr>
        <w:spacing w:after="120"/>
      </w:pPr>
      <w:r>
        <w:t xml:space="preserve">Whitfield Carter LLP, for and on behalf of Kingsford Group Limited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Drake — WC-00148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2026-06-26T16:45:21.986Z</dcterms:created>
  <dcterms:modified xsi:type="dcterms:W3CDTF">2026-06-26T16:45:21.986Z</dcterms:modified>
</cp:coreProperties>
</file>

<file path=docProps/custom.xml><?xml version="1.0" encoding="utf-8"?>
<Properties xmlns="http://schemas.openxmlformats.org/officeDocument/2006/custom-properties" xmlns:vt="http://schemas.openxmlformats.org/officeDocument/2006/docPropsVTypes"/>
</file>