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8"/>
          <w:szCs w:val="28"/>
        </w:rPr>
        <w:t xml:space="preserve">HEADS OF TERMS</w:t>
      </w:r>
    </w:p>
    <w:p>
      <w:pPr>
        <w:spacing w:after="120"/>
        <w:jc w:val="center"/>
      </w:pPr>
      <w:r>
        <w:rPr>
          <w:b/>
          <w:bCs/>
        </w:rPr>
        <w:t xml:space="preserve">Project Drake — Proposed acquisition of Tidewell Marina Holdings Limited</w:t>
      </w:r>
    </w:p>
    <w:p>
      <w:pPr>
        <w:spacing w:after="120"/>
        <w:jc w:val="center"/>
      </w:pPr>
      <w:r>
        <w:rPr>
          <w:i/>
          <w:iCs/>
        </w:rPr>
        <w:t xml:space="preserve">Subject to contract — not legally binding (save for clauses 9 to 12)</w:t>
      </w:r>
    </w:p>
    <w:p>
      <w:pPr>
        <w:spacing w:after="120"/>
      </w:pPr>
      <w:r>
        <w:t xml:space="preserve">These heads of terms record the principal terms on which Kingsford Group Limited (the “Buyer”) proposes to acquire the entire issued share capital of Tidewell Marina Holdings Limited (the “Target”) from Gregory Tidewell and Eleanor Tidewell (together the “Sellers”). Save for clauses 9 to 12 (which are binding), these heads of terms are subject to contract and create no legally binding obligation.</w:t>
      </w:r>
    </w:p>
    <w:p>
      <w:pPr>
        <w:pStyle w:val="ListParagraph"/>
        <w:numPr>
          <w:ilvl w:val="0"/>
          <w:numId w:val="2"/>
        </w:numPr>
        <w:spacing w:after="60" w:before="120"/>
      </w:pPr>
      <w:r>
        <w:rPr>
          <w:b/>
          <w:bCs/>
        </w:rPr>
        <w:t xml:space="preserve">STRUCTURE</w:t>
      </w:r>
    </w:p>
    <w:p>
      <w:pPr>
        <w:spacing w:after="120"/>
      </w:pPr>
      <w:r>
        <w:t xml:space="preserve">The Buyer will acquire 100% of the issued share capital of the Target, comprising 1,000,000 ordinary shares of £0.01 each, free from all encumbrances and with all rights attaching to them. The Target owns the marina, boatyard and dry-stack operations carried on at Hamble, Lymington and Port Solent.</w:t>
      </w:r>
    </w:p>
    <w:p>
      <w:pPr>
        <w:pStyle w:val="ListParagraph"/>
        <w:numPr>
          <w:ilvl w:val="0"/>
          <w:numId w:val="2"/>
        </w:numPr>
        <w:spacing w:after="60" w:before="120"/>
      </w:pPr>
      <w:r>
        <w:rPr>
          <w:b/>
          <w:bCs/>
        </w:rPr>
        <w:t xml:space="preserve">CONSIDERATION</w:t>
      </w:r>
    </w:p>
    <w:p>
      <w:pPr>
        <w:spacing w:after="120"/>
      </w:pPr>
      <w:r>
        <w:t xml:space="preserve">The acquisition is on a cash-free, debt-free basis assuming a normalised level of working capital. The consideration is based on an enterprise value of £24,500,000, giving an equity value of £22,400,000 after estimated net debt of £2,100,000, payable as follows:</w:t>
      </w:r>
    </w:p>
    <w:p>
      <w:pPr>
        <w:pStyle w:val="ListParagraph"/>
        <w:numPr>
          <w:ilvl w:val="0"/>
          <w:numId w:val="3"/>
        </w:numPr>
        <w:spacing w:after="60"/>
      </w:pPr>
      <w:r>
        <w:t xml:space="preserve">£19,900,000 in cash at completion;</w:t>
      </w:r>
    </w:p>
    <w:p>
      <w:pPr>
        <w:pStyle w:val="ListParagraph"/>
        <w:numPr>
          <w:ilvl w:val="0"/>
          <w:numId w:val="3"/>
        </w:numPr>
        <w:spacing w:after="60"/>
      </w:pPr>
      <w:r>
        <w:t xml:space="preserve">£1,500,000 retained in an escrow account for 18 months as security for warranty and tax covenant claims; and</w:t>
      </w:r>
    </w:p>
    <w:p>
      <w:pPr>
        <w:pStyle w:val="ListParagraph"/>
        <w:numPr>
          <w:ilvl w:val="0"/>
          <w:numId w:val="3"/>
        </w:numPr>
        <w:spacing w:after="60"/>
      </w:pPr>
      <w:r>
        <w:t xml:space="preserve">deferred consideration of up to £1,000,000, payable by reference to the audited EBITDA of the Target for the year ending 31 December 2026 (the “Earn-Out”).</w:t>
      </w:r>
    </w:p>
    <w:p>
      <w:pPr>
        <w:pStyle w:val="ListParagraph"/>
        <w:numPr>
          <w:ilvl w:val="0"/>
          <w:numId w:val="2"/>
        </w:numPr>
        <w:spacing w:after="60" w:before="120"/>
      </w:pPr>
      <w:r>
        <w:rPr>
          <w:b/>
          <w:bCs/>
        </w:rPr>
        <w:t xml:space="preserve">EARN-OUT</w:t>
      </w:r>
    </w:p>
    <w:p>
      <w:pPr>
        <w:spacing w:after="120"/>
      </w:pPr>
      <w:r>
        <w:t xml:space="preserve">The Earn-Out will be calculated on a sliding scale: no Earn-Out is payable if FY2026 EBITDA is below £3,200,000; the full £1,000,000 is payable if FY2026 EBITDA is £3,800,000 or more; and a pro rata amount is payable between those thresholds. The Earn-Out is subject to customary protections for the Sellers regarding the conduct of the business during the earn-out period.</w:t>
      </w:r>
    </w:p>
    <w:p>
      <w:pPr>
        <w:pStyle w:val="ListParagraph"/>
        <w:numPr>
          <w:ilvl w:val="0"/>
          <w:numId w:val="2"/>
        </w:numPr>
        <w:spacing w:after="60" w:before="120"/>
      </w:pPr>
      <w:r>
        <w:rPr>
          <w:b/>
          <w:bCs/>
        </w:rPr>
        <w:t xml:space="preserve">WARRANTIES AND INDEMNITIES</w:t>
      </w:r>
    </w:p>
    <w:p>
      <w:pPr>
        <w:spacing w:after="120"/>
      </w:pPr>
      <w:r>
        <w:t xml:space="preserve">The Sellers will give customary warranties as to the Target and its business, together with a tax covenant. The aggregate liability of the Sellers for warranty claims (other than for the title and capacity warranties and the tax covenant) will be capped at 30% of the equity consideration. Claims will be subject to a de minimis per claim and an aggregate threshold to be agreed in the share purchase agreement, and to customary time limits.</w:t>
      </w:r>
    </w:p>
    <w:p>
      <w:pPr>
        <w:pStyle w:val="ListParagraph"/>
        <w:numPr>
          <w:ilvl w:val="0"/>
          <w:numId w:val="2"/>
        </w:numPr>
        <w:spacing w:after="60" w:before="120"/>
      </w:pPr>
      <w:r>
        <w:rPr>
          <w:b/>
          <w:bCs/>
        </w:rPr>
        <w:t xml:space="preserve">CONDITIONS</w:t>
      </w:r>
    </w:p>
    <w:p>
      <w:pPr>
        <w:spacing w:after="120"/>
      </w:pPr>
      <w:r>
        <w:t xml:space="preserve">Completion is conditional on satisfactory completion of due diligence, the consent of the landlords of the leasehold sites to the change of control, and the Buyer’s board approval. The parties are not aware of any merger control or other regulatory clearance being required.</w:t>
      </w:r>
    </w:p>
    <w:p>
      <w:pPr>
        <w:pStyle w:val="ListParagraph"/>
        <w:numPr>
          <w:ilvl w:val="0"/>
          <w:numId w:val="2"/>
        </w:numPr>
        <w:spacing w:after="60" w:before="120"/>
      </w:pPr>
      <w:r>
        <w:rPr>
          <w:b/>
          <w:bCs/>
        </w:rPr>
        <w:t xml:space="preserve">RESTRICTIVE COVENANTS</w:t>
      </w:r>
    </w:p>
    <w:p>
      <w:pPr>
        <w:spacing w:after="120"/>
      </w:pPr>
      <w:r>
        <w:t xml:space="preserve">The Sellers will give non-compete and non-solicitation covenants for a period of three years from completion within the United Kingdom marina and boatyard sector.</w:t>
      </w:r>
    </w:p>
    <w:p>
      <w:pPr>
        <w:pStyle w:val="ListParagraph"/>
        <w:numPr>
          <w:ilvl w:val="0"/>
          <w:numId w:val="2"/>
        </w:numPr>
        <w:spacing w:after="60" w:before="120"/>
      </w:pPr>
      <w:r>
        <w:rPr>
          <w:b/>
          <w:bCs/>
        </w:rPr>
        <w:t xml:space="preserve">EXCLUSIVITY</w:t>
      </w:r>
    </w:p>
    <w:p>
      <w:pPr>
        <w:spacing w:after="120"/>
      </w:pPr>
      <w:r>
        <w:t xml:space="preserve">The Sellers grant the Buyer exclusivity for a period of eight weeks from the date of these heads of terms, during which they will not solicit or negotiate with any other prospective purchaser. This clause is binding.</w:t>
      </w:r>
    </w:p>
    <w:p>
      <w:pPr>
        <w:pStyle w:val="ListParagraph"/>
        <w:numPr>
          <w:ilvl w:val="0"/>
          <w:numId w:val="2"/>
        </w:numPr>
        <w:spacing w:after="60" w:before="120"/>
      </w:pPr>
      <w:r>
        <w:rPr>
          <w:b/>
          <w:bCs/>
        </w:rPr>
        <w:t xml:space="preserve">COSTS</w:t>
      </w:r>
    </w:p>
    <w:p>
      <w:pPr>
        <w:spacing w:after="120"/>
      </w:pPr>
      <w:r>
        <w:t xml:space="preserve">Each party bears its own costs. This clause is binding.</w:t>
      </w:r>
    </w:p>
    <w:p>
      <w:pPr>
        <w:pStyle w:val="ListParagraph"/>
        <w:numPr>
          <w:ilvl w:val="0"/>
          <w:numId w:val="2"/>
        </w:numPr>
        <w:spacing w:after="60" w:before="120"/>
      </w:pPr>
      <w:r>
        <w:rPr>
          <w:b/>
          <w:bCs/>
        </w:rPr>
        <w:t xml:space="preserve">CONFIDENTIALITY</w:t>
      </w:r>
    </w:p>
    <w:p>
      <w:pPr>
        <w:spacing w:after="120"/>
      </w:pPr>
      <w:r>
        <w:t xml:space="preserve">The parties will keep the existence and terms of these heads of terms confidential, subject to the confidentiality agreement dated 1 August 2025. This clause is binding.</w:t>
      </w:r>
    </w:p>
    <w:p>
      <w:pPr>
        <w:pStyle w:val="ListParagraph"/>
        <w:numPr>
          <w:ilvl w:val="0"/>
          <w:numId w:val="2"/>
        </w:numPr>
        <w:spacing w:after="60" w:before="120"/>
      </w:pPr>
      <w:r>
        <w:rPr>
          <w:b/>
          <w:bCs/>
        </w:rPr>
        <w:t xml:space="preserve">GOVERNING LAW</w:t>
      </w:r>
    </w:p>
    <w:p>
      <w:pPr>
        <w:spacing w:after="120"/>
      </w:pPr>
      <w:r>
        <w:t xml:space="preserve">These heads of terms are governed by the law of England and Wales. This clause is binding.</w:t>
      </w:r>
    </w:p>
    <w:p>
      <w:pPr>
        <w:spacing w:before="200"/>
      </w:pPr>
      <w:r>
        <w:rPr>
          <w:b/>
          <w:bCs/>
        </w:rPr>
        <w:t xml:space="preserve">Agreed in principle, subject to contract:</w:t>
      </w:r>
    </w:p>
    <w:p>
      <w:pPr>
        <w:spacing w:after="120"/>
      </w:pPr>
      <w:r>
        <w:t xml:space="preserve">For the Buyer: Charles Aldous, Kingsford Group Limited</w:t>
      </w:r>
    </w:p>
    <w:p>
      <w:pPr>
        <w:spacing w:after="120"/>
      </w:pPr>
      <w:r>
        <w:t xml:space="preserve">For the Sellers: Gregory Tidewell and Eleanor Tidewell</w:t>
      </w:r>
    </w:p>
    <w:p>
      <w:pPr>
        <w:spacing w:after="120"/>
      </w:pPr>
      <w:r>
        <w:t xml:space="preserve">Dated: 22 August 2025</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tabs>
        <w:tab w:val="right" w:pos="9026"/>
      </w:tabs>
    </w:pPr>
    <w:r>
      <w:rPr>
        <w:color w:val="808080"/>
        <w:sz w:val="14"/>
        <w:szCs w:val="14"/>
      </w:rPr>
      <w:t xml:space="preserve">Project Drake — WC-00148  |  Confidential and may be legally privileged.</w:t>
    </w:r>
    <w:r>
      <w:rPr>
        <w:color w:val="808080"/>
        <w:sz w:val="14"/>
        <w:szCs w:val="14"/>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abstractNum w:abstractNumId="5" w15:restartNumberingAfterBreak="0">
    <w:multiLevelType w:val="hybridMultilevel"/>
    <w:lvl w:ilvl="0" w15:tentative="1">
      <w:start w:val="1"/>
      <w:numFmt w:val="lowerRoman"/>
      <w:lvlText w:val="(%1)"/>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4"/>
      <w:szCs w:val="24"/>
    </w:rPr>
  </w:style>
  <w:style w:type="paragraph" w:styleId="Heading2">
    <w:name w:val="Heading 2"/>
    <w:basedOn w:val="Normal"/>
    <w:next w:val="Normal"/>
    <w:qFormat/>
    <w:pPr>
      <w:spacing w:after="80" w:before="160"/>
      <w:outlineLvl w:val="1"/>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2026-06-26T16:45:21.972Z</dcterms:created>
  <dcterms:modified xsi:type="dcterms:W3CDTF">2026-06-26T16:45:21.972Z</dcterms:modified>
</cp:coreProperties>
</file>

<file path=docProps/custom.xml><?xml version="1.0" encoding="utf-8"?>
<Properties xmlns="http://schemas.openxmlformats.org/officeDocument/2006/custom-properties" xmlns:vt="http://schemas.openxmlformats.org/officeDocument/2006/docPropsVTypes"/>
</file>