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COMPLETION CHECKLIST</w:t>
      </w:r>
    </w:p>
    <w:p>
      <w:pPr>
        <w:spacing w:after="120"/>
        <w:jc w:val="center"/>
      </w:pPr>
      <w:r>
        <w:rPr>
          <w:i/>
          <w:iCs/>
        </w:rPr>
        <w:t xml:space="preserve">Project Polaris — acquisition of Larkfield Spa &amp; Wellness Limited</w:t>
      </w:r>
    </w:p>
    <w:p>
      <w:pPr>
        <w:spacing w:after="120"/>
        <w:jc w:val="center"/>
      </w:pPr>
      <w:r>
        <w:t xml:space="preserve">Completion: 31 October 2025  |  Whitfield Carter LLP ref: SW/JO/WC-00132</w:t>
      </w:r>
    </w:p>
    <w:p>
      <w:pPr>
        <w:pStyle w:val="Heading2"/>
      </w:pPr>
      <w:r>
        <w:t xml:space="preserve">A. Documents to be delivered by the Sellers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26"/>
        <w:gridCol w:w="2200"/>
        <w:gridCol w:w="16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 purchase agreement (executed)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Sellers / Castle &amp; Vane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Engrossed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Disclosure letter and Data Room index (signed)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Castle &amp; Vane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Engrossed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Stock transfer forms (×5 Sellers)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Castle &amp; Vane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 certificates / indemnity for lost certificate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Sellers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 follow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Statutory registers, certificate of incorporation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Sellers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Directors’ and secretary’s letters of resignation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Sellers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Company board minutes approving transfers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Castle &amp; Vane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Releases of debentures / charges (Pennine Business Bank plc)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Sellers / bank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Awaited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Landlord consents (Leeds licence to alter)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Sellers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Awaited</w:t>
            </w:r>
          </w:p>
        </w:tc>
      </w:tr>
    </w:tbl>
    <w:p>
      <w:pPr>
        <w:pStyle w:val="Heading2"/>
      </w:pPr>
      <w:r>
        <w:t xml:space="preserve">B. Documents and actions of the Buyer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26"/>
        <w:gridCol w:w="2200"/>
        <w:gridCol w:w="16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 / action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Buyer board resolutions authorising the acquisition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Whitfield Carter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Funds flow statement agreed and signed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Whitfield Carter / Marlow Tax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Agreed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Telegraphic transfer of cash consideration (£29,300,000)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Buyer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Pre-positioned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Transfer of escrow amount (£1,500,000) to escrow account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Buyer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Pre-positioned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Repayment of bank facility and director’s loan (£3,200,000)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Buyer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Pre-positioned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Stamp duty (£164,000) — submission to HMRC post-completion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Whitfield Carter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Post-completion</w:t>
            </w:r>
          </w:p>
        </w:tc>
      </w:tr>
    </w:tbl>
    <w:p>
      <w:pPr>
        <w:pStyle w:val="Heading2"/>
      </w:pPr>
      <w:r>
        <w:t xml:space="preserve">C. Post-completion</w:t>
      </w:r>
    </w:p>
    <w:p>
      <w:pPr>
        <w:spacing w:after="120"/>
      </w:pPr>
      <w:r>
        <w:t xml:space="preserve">Following completion: file SH01/stock transfer forms with HMRC for stamping; update the Company’s register of members and issue new share certificate to the Buyer; file form AP01/TM01 appointments and terminations at Companies House; and lodge the Buyer’s charge (if any) within 21 days. The 18-month escrow release date is 30 April 2027.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right" w:pos="9026"/>
      </w:tabs>
    </w:pPr>
    <w:r>
      <w:rPr>
        <w:color w:val="808080"/>
        <w:sz w:val="14"/>
        <w:szCs w:val="14"/>
      </w:rPr>
      <w:t xml:space="preserve">Project Polaris — WC-00132  |  Confidential and may be legally privileged.</w:t>
    </w:r>
    <w:r>
      <w:rPr>
        <w:color w:val="808080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2026-06-26T00:26:14.114Z</dcterms:created>
  <dcterms:modified xsi:type="dcterms:W3CDTF">2026-06-26T00:26:14.114Z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