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sz w:val="18"/>
          <w:szCs w:val="18"/>
        </w:rPr>
        <w:t xml:space="preserve">31 October 2025</w:t>
      </w:r>
    </w:p>
    <w:p>
      <w:pPr>
        <w:spacing w:after="120"/>
      </w:pPr>
      <w:r>
        <w:t xml:space="preserve">To: Kingsford Group Limited (the “Buyer”)</w:t>
      </w:r>
    </w:p>
    <w:p>
      <w:pPr>
        <w:spacing w:after="120"/>
      </w:pPr>
      <w:r>
        <w:t xml:space="preserve">From: the Sellers named in Schedule 1 to the Agreement (the “Sellers”)</w:t>
      </w:r>
    </w:p>
    <w:p>
      <w:pPr>
        <w:spacing w:after="120" w:before="120"/>
      </w:pPr>
      <w:r>
        <w:rPr>
          <w:b/>
          <w:bCs/>
        </w:rPr>
        <w:t xml:space="preserve">DISCLOSURE LETTER — Project Polaris</w:t>
      </w:r>
    </w:p>
    <w:p>
      <w:pPr>
        <w:spacing w:after="120"/>
      </w:pPr>
      <w:r>
        <w:t xml:space="preserve">This is the Disclosure Letter referred to in the share purchase agreement of today’s date relating to the entire issued share capital of Larkfield Spa &amp; Wellness Limited (the “Agreement”). Words and expressions defined in the Agreement have the same meaning in this letter.</w:t>
      </w:r>
    </w:p>
    <w:p>
      <w:pPr>
        <w:pStyle w:val="ListParagraph"/>
        <w:numPr>
          <w:ilvl w:val="0"/>
          <w:numId w:val="2"/>
        </w:numPr>
        <w:spacing w:after="60" w:before="120"/>
      </w:pPr>
      <w:r>
        <w:rPr>
          <w:b/>
          <w:bCs/>
        </w:rPr>
        <w:t xml:space="preserve">GENERAL</w:t>
      </w:r>
    </w:p>
    <w:p>
      <w:pPr>
        <w:spacing w:after="120"/>
      </w:pPr>
      <w:r>
        <w:t xml:space="preserve">The Warranties are given subject to all matters fairly disclosed in this letter and the documents in the Data Room (the index to which is annexed). The matters disclosed are disclosed against the Warranties generally and not only against the specific Warranty referenced.</w:t>
      </w:r>
    </w:p>
    <w:p>
      <w:pPr>
        <w:pStyle w:val="ListParagraph"/>
        <w:numPr>
          <w:ilvl w:val="0"/>
          <w:numId w:val="2"/>
        </w:numPr>
        <w:spacing w:after="60" w:before="120"/>
      </w:pPr>
      <w:r>
        <w:rPr>
          <w:b/>
          <w:bCs/>
        </w:rPr>
        <w:t xml:space="preserve">GENERAL DISCLOSURES</w:t>
      </w:r>
    </w:p>
    <w:p>
      <w:pPr>
        <w:spacing w:after="120"/>
      </w:pPr>
      <w:r>
        <w:t xml:space="preserve">The following are disclosed against all of the Warranties: (a) all matters appearing from the Company’s file at Companies House; (b) all matters appearing from official searches of the registers at HM Land Registry in respect of the leasehold sites; (c) the contents of the Accounts and the Management Accounts; and (d) all matters which would be revealed by the searches a prudent buyer would make.</w:t>
      </w:r>
    </w:p>
    <w:p>
      <w:pPr>
        <w:pStyle w:val="ListParagraph"/>
        <w:numPr>
          <w:ilvl w:val="0"/>
          <w:numId w:val="2"/>
        </w:numPr>
        <w:spacing w:after="60" w:before="120"/>
      </w:pPr>
      <w:r>
        <w:rPr>
          <w:b/>
          <w:bCs/>
        </w:rPr>
        <w:t xml:space="preserve">SPECIFIC DISCLOSURES</w:t>
      </w:r>
    </w:p>
    <w:p>
      <w:pPr>
        <w:spacing w:after="120"/>
      </w:pPr>
      <w:r>
        <w:t xml:space="preserve">The following specific matters are disclosed against the Warranties indicated: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Warranty</w:t>
            </w:r>
          </w:p>
        </w:tc>
        <w:tc>
          <w:tcPr>
            <w:tcW w:type="dxa" w:w="6826"/>
            <w:tcBorders>
              <w:top w:val="single" w:color="999999" w:sz="1"/>
              <w:left w:val="single" w:color="999999" w:sz="1"/>
              <w:bottom w:val="single" w:color="999999" w:sz="1"/>
              <w:right w:val="single" w:color="999999" w:sz="1"/>
            </w:tcBorders>
            <w:shd w:fill="1F3864" w:val="clear"/>
            <w:tcMar>
              <w:top w:type="dxa" w:w="60"/>
              <w:left w:type="dxa" w:w="120"/>
              <w:bottom w:type="dxa" w:w="60"/>
              <w:right w:type="dxa" w:w="120"/>
            </w:tcMar>
          </w:tcPr>
          <w:p>
            <w:r>
              <w:rPr>
                <w:b/>
                <w:bCs/>
                <w:color w:val="FFFFFF"/>
              </w:rPr>
              <w:t xml:space="preserve">Disclosure</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4.2 (Premises)</w:t>
            </w:r>
          </w:p>
        </w:tc>
        <w:tc>
          <w:tcPr>
            <w:tcW w:type="dxa" w:w="6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The lease of the Leeds site (Unit 4, Calder Wharf) is held on a 2019 lease with an outstanding licence-to-alter application in respect of the 2023 studio fit-out; the landlord’s consent is awaited and is expected shortly. See Data Room 4.3.1–4.3.4.</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5.1 (Contracts)</w:t>
            </w:r>
          </w:p>
        </w:tc>
        <w:tc>
          <w:tcPr>
            <w:tcW w:type="dxa" w:w="6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The Company’s linen and laundry supply contract with Pemberton Textiles Ltd has 14 months to run and may not be terminated on three months’ notice; it auto-renews for 24 months unless 6 months’ notice is given. See Data Room 5.2.7.</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6.1 (Employees)</w:t>
            </w:r>
          </w:p>
        </w:tc>
        <w:tc>
          <w:tcPr>
            <w:tcW w:type="dxa" w:w="6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Two employees earn above £50,000 but are not listed in the original schedule because they were promoted in September 2025; updated particulars are at Data Room 6.1.9.</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7.1 (Litigation)</w:t>
            </w:r>
          </w:p>
        </w:tc>
        <w:tc>
          <w:tcPr>
            <w:tcW w:type="dxa" w:w="6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A former member has issued a small-claims-track personal-injury claim (slip in the Harrogate changing rooms) valued at approximately £4,800; the claim is covered by the Company’s public-liability insurance. See Data Room 7.4.2.</w:t>
            </w:r>
          </w:p>
        </w:tc>
      </w:tr>
      <w:tr>
        <w:tc>
          <w:tcPr>
            <w:tcW w:type="dxa" w:w="2200"/>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7.2 (Compliance)</w:t>
            </w:r>
          </w:p>
        </w:tc>
        <w:tc>
          <w:tcPr>
            <w:tcW w:type="dxa" w:w="6826"/>
            <w:tcBorders>
              <w:top w:val="single" w:color="999999" w:sz="1"/>
              <w:left w:val="single" w:color="999999" w:sz="1"/>
              <w:bottom w:val="single" w:color="999999" w:sz="1"/>
              <w:right w:val="single" w:color="999999" w:sz="1"/>
            </w:tcBorders>
            <w:tcMar>
              <w:top w:type="dxa" w:w="60"/>
              <w:left w:type="dxa" w:w="120"/>
              <w:bottom w:type="dxa" w:w="60"/>
              <w:right w:type="dxa" w:w="120"/>
            </w:tcMar>
          </w:tcPr>
          <w:p>
            <w:r>
              <w:rPr>
                <w:b w:val="false"/>
                <w:bCs w:val="false"/>
                <w:color w:val="000000"/>
              </w:rPr>
              <w:t xml:space="preserve">An improvement notice was served by the local authority in March 2025 in respect of pool water-treatment record-keeping at the York site; the notice was complied with and closed out in April 2025. See Data Room 7.6.1–7.6.3.</w:t>
            </w:r>
          </w:p>
        </w:tc>
      </w:tr>
      <w:tr>
        <w:tc>
          <w:tcPr>
            <w:tcW w:type="dxa" w:w="2200"/>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9.1 (Tax)</w:t>
            </w:r>
          </w:p>
        </w:tc>
        <w:tc>
          <w:tcPr>
            <w:tcW w:type="dxa" w:w="6826"/>
            <w:tcBorders>
              <w:top w:val="single" w:color="999999" w:sz="1"/>
              <w:left w:val="single" w:color="999999" w:sz="1"/>
              <w:bottom w:val="single" w:color="999999" w:sz="1"/>
              <w:right w:val="single" w:color="999999" w:sz="1"/>
            </w:tcBorders>
            <w:shd w:fill="F2F2F2" w:val="clear"/>
            <w:tcMar>
              <w:top w:type="dxa" w:w="60"/>
              <w:left w:type="dxa" w:w="120"/>
              <w:bottom w:type="dxa" w:w="60"/>
              <w:right w:type="dxa" w:w="120"/>
            </w:tcMar>
          </w:tcPr>
          <w:p>
            <w:r>
              <w:rPr>
                <w:b w:val="false"/>
                <w:bCs w:val="false"/>
                <w:color w:val="000000"/>
              </w:rPr>
              <w:t xml:space="preserve">A VAT inspection in 2024 resulted in a minor adjustment of £6,200 (paid). No other Tax dispute is outstanding. See Data Room 9.2.</w:t>
            </w:r>
          </w:p>
        </w:tc>
      </w:tr>
    </w:tbl>
    <w:p>
      <w:pPr>
        <w:spacing w:after="120"/>
        <w:rPr>
          <w:i/>
          <w:iCs/>
          <w:color w:val="595959"/>
          <w:sz w:val="18"/>
          <w:szCs w:val="18"/>
        </w:rPr>
      </w:pPr>
      <w:r>
        <w:rPr>
          <w:i/>
          <w:iCs/>
          <w:color w:val="595959"/>
          <w:sz w:val="18"/>
          <w:szCs w:val="18"/>
        </w:rPr>
        <w:t xml:space="preserve">This letter and its disclosures are given for the purposes of the Agreement only and may not be relied on by any other person.</w:t>
      </w:r>
    </w:p>
    <w:p>
      <w:pPr>
        <w:spacing w:after="120" w:before="200"/>
      </w:pPr>
      <w:r>
        <w:rPr>
          <w:b w:val="false"/>
          <w:bCs w:val="false"/>
        </w:rPr>
        <w:t xml:space="preserve">Signed for and on behalf of the Sellers  ...................................   Helena Larkfield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tabs>
        <w:tab w:val="right" w:pos="9026"/>
      </w:tabs>
    </w:pPr>
    <w:r>
      <w:rPr>
        <w:color w:val="808080"/>
        <w:sz w:val="14"/>
        <w:szCs w:val="14"/>
      </w:rPr>
      <w:t xml:space="preserve">Project Polaris — WC-00132  |  Confidential and may be legally privileged.</w:t>
    </w:r>
    <w:r>
      <w:rPr>
        <w:color w:val="808080"/>
        <w:sz w:val="14"/>
        <w:szCs w:val="14"/>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Roman"/>
      <w:lvlText w:val="(%1)"/>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sz w:val="24"/>
      <w:szCs w:val="24"/>
    </w:rPr>
  </w:style>
  <w:style w:type="paragraph" w:styleId="Heading2">
    <w:name w:val="Heading 2"/>
    <w:basedOn w:val="Normal"/>
    <w:next w:val="Normal"/>
    <w:qFormat/>
    <w:pPr>
      <w:spacing w:after="80" w:before="160"/>
      <w:outlineLvl w:val="1"/>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2026-06-26T00:26:14.095Z</dcterms:created>
  <dcterms:modified xsi:type="dcterms:W3CDTF">2026-06-26T00:26:14.095Z</dcterms:modified>
</cp:coreProperties>
</file>

<file path=docProps/custom.xml><?xml version="1.0" encoding="utf-8"?>
<Properties xmlns="http://schemas.openxmlformats.org/officeDocument/2006/custom-properties" xmlns:vt="http://schemas.openxmlformats.org/officeDocument/2006/docPropsVTypes"/>
</file>