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HEADS OF TERMS</w:t>
      </w:r>
    </w:p>
    <w:p>
      <w:pPr>
        <w:spacing w:after="120"/>
        <w:jc w:val="center"/>
      </w:pPr>
      <w:r>
        <w:rPr>
          <w:i/>
          <w:iCs/>
        </w:rPr>
        <w:t xml:space="preserve">Project Polaris</w:t>
      </w:r>
    </w:p>
    <w:p>
      <w:pPr>
        <w:spacing w:after="120"/>
        <w:jc w:val="center"/>
      </w:pPr>
      <w:r>
        <w:t xml:space="preserve">Proposed acquisition of Larkfield Spa &amp; Wellness Limited by Kingsford Group Limited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21 July 2025</w:t>
      </w:r>
    </w:p>
    <w:p>
      <w:pPr>
        <w:spacing w:after="120"/>
      </w:pPr>
      <w:r>
        <w:t xml:space="preserve">These heads of terms record the principal terms on which Kingsford Group Limited (the “Buyer”) proposes to acquire the entire issued share capital of Larkfield Spa &amp; Wellness Limited (the “Company”) from its shareholders (the “Sellers”). Save for paragraphs 9 to 12 (Exclusivity, Confidentiality, Costs and Governing Law), these heads of terms are not legally binding and are subject to contract and to satisfactory completion of due diligence.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THE TRANSACTION</w:t>
      </w:r>
    </w:p>
    <w:p>
      <w:pPr>
        <w:spacing w:after="120"/>
      </w:pPr>
      <w:r>
        <w:t xml:space="preserve">The Buyer will acquire 100% of the issued share capital of the Company on a debt-free, cash-free basis with a normalised level of working capital.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CONSIDERATION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Enterprise value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£36,000,000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 net debt at completion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(£3,200,000)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Equity consideration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£32,800,000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Payable in cash at completion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£29,300,000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Retention into escrow (18 months)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£1,500,000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Deferred consideration / earn-out (max)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£2,000,000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EARN-OUT</w:t>
      </w:r>
    </w:p>
    <w:p>
      <w:pPr>
        <w:spacing w:after="120"/>
      </w:pPr>
      <w:r>
        <w:t xml:space="preserve">Up to £2,000,000 of deferred consideration will be payable by reference to the Company’s audited EBITDA for the year ending 31 March 2026, with the full amount payable at FY2026 EBITDA of £4,800,000 and nil below £4,200,000, on a straight-line basis between those points.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MANAGEMENT</w:t>
      </w:r>
    </w:p>
    <w:p>
      <w:pPr>
        <w:spacing w:after="120"/>
      </w:pPr>
      <w:r>
        <w:t xml:space="preserve">Helena Larkfield will step back from day-to-day management on completion but will provide up to 12 months’ consultancy support. Marcus Larkfield will remain as Operations Director on his existing terms for a minimum of 24 months.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WARRANTIES AND INDEMNITIES</w:t>
      </w:r>
    </w:p>
    <w:p>
      <w:pPr>
        <w:spacing w:after="120"/>
      </w:pPr>
      <w:r>
        <w:t xml:space="preserve">The Sellers will give customary warranties, with a tax covenant from the founder Warrantors. The aggregate liability cap will be 25% of the equity consideration (£8,200,000), with a de minimis of £30,000 per claim and a basket of £350,000. General warranty claims to be notified within 24 months of completion; tax claims within 7 years.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DUE DILIGENCE</w:t>
      </w:r>
    </w:p>
    <w:p>
      <w:pPr>
        <w:spacing w:after="120"/>
      </w:pPr>
      <w:r>
        <w:t xml:space="preserve">The Buyer will undertake legal, financial and tax due diligence. The Sellers will provide access to a data room and management. Particular focus areas: the leasehold title to the Harrogate, York and Leeds sites; water-treatment and health-and-safety compliance; and the membership-revenue recognition policy.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CONDITIONS AND TIMETABLE</w:t>
      </w:r>
    </w:p>
    <w:p>
      <w:pPr>
        <w:spacing w:after="120"/>
      </w:pPr>
      <w:r>
        <w:t xml:space="preserve">The parties are targeting signing and completion (a simultaneous “sign and close”) by 31 October 2025, subject to satisfactory due diligence and board approvals.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EXCLUSIVITY (binding)</w:t>
      </w:r>
    </w:p>
    <w:p>
      <w:pPr>
        <w:spacing w:after="120"/>
      </w:pPr>
      <w:r>
        <w:t xml:space="preserve">The Sellers grant the Buyer exclusivity until 31 October 2025, during which the Sellers will not solicit, encourage or enter into discussions with any other party in relation to a sale of the Company or its business.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CONFIDENTIALITY (binding)</w:t>
      </w:r>
    </w:p>
    <w:p>
      <w:pPr>
        <w:spacing w:after="120"/>
      </w:pPr>
      <w:r>
        <w:t xml:space="preserve">Each party will keep confidential the existence and terms of these heads of terms and the proposed transaction, in accordance with the confidentiality agreement dated 26 June 2025.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COSTS (binding)</w:t>
      </w:r>
    </w:p>
    <w:p>
      <w:pPr>
        <w:spacing w:after="120"/>
      </w:pPr>
      <w:r>
        <w:t xml:space="preserve">Each party will bear its own costs.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GOVERNING LAW (binding)</w:t>
      </w:r>
    </w:p>
    <w:p>
      <w:pPr>
        <w:spacing w:after="120"/>
      </w:pPr>
      <w:r>
        <w:t xml:space="preserve">These heads of terms are governed by the law of England and Wales.</w:t>
      </w:r>
    </w:p>
    <w:p>
      <w:pPr>
        <w:spacing w:after="120" w:before="240"/>
      </w:pPr>
      <w:r>
        <w:t xml:space="preserve">Agreed for the Buyer: ...................................   Charles Aldous, Kingsford Group Limited</w:t>
      </w:r>
    </w:p>
    <w:p>
      <w:pPr>
        <w:spacing w:after="120"/>
      </w:pPr>
      <w:r>
        <w:t xml:space="preserve">Agreed for the Sellers: ...................................   Helena Larkfield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Project Polaris — WC-00132  |  Confidential and may be legally privileged.</w:t>
    </w:r>
    <w:r>
      <w:rPr>
        <w:color w:val="808080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2026-06-26T00:26:14.080Z</dcterms:created>
  <dcterms:modified xsi:type="dcterms:W3CDTF">2026-06-26T00:26:14.080Z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