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Whitfield Carter LLP</w:t>
      </w:r>
    </w:p>
    <w:p>
      <w:pPr>
        <w:jc w:val="right"/>
      </w:pPr>
      <w:r>
        <w:rPr>
          <w:sz w:val="18"/>
        </w:rPr>
        <w:t>22 Bishopsgate, London EC2N 4BQ</w:t>
        <w:br/>
        <w:t>DX 138760 Cheapside  |  T +44 (0)20 7946 0083</w:t>
      </w:r>
    </w:p>
    <w:p>
      <w:pPr>
        <w:pBdr>
          <w:bottom w:val="single" w:sz="8" w:space="1" w:color="1F3864"/>
        </w:pBdr>
      </w:pPr>
    </w:p>
    <w:p>
      <w:pPr>
        <w:jc w:val="center"/>
      </w:pPr>
      <w:r>
        <w:rPr>
          <w:b/>
          <w:sz w:val="28"/>
        </w:rPr>
        <w:t>PROJECT QUARTZ — COMPLETION CHECKLIST</w:t>
      </w:r>
    </w:p>
    <w:p>
      <w:pPr>
        <w:jc w:val="center"/>
      </w:pPr>
      <w:r>
        <w:rPr>
          <w:b w:val="0"/>
          <w:i/>
          <w:sz w:val="22"/>
        </w:rPr>
        <w:t>Acquisition of Holbeck Spa &amp; Wellness Group Limited  |  Completion: 6 March 2026</w:t>
      </w:r>
    </w:p>
    <w:p>
      <w:pPr>
        <w:spacing w:after="120"/>
      </w:pPr>
      <w:r>
        <w:rPr>
          <w:b w:val="0"/>
          <w:i w:val="0"/>
          <w:sz w:val="18"/>
        </w:rPr>
        <w:t>Document status key: A = agreed/final; D = in draft; ● = executed at Completion; ○ = to follow. Responsibility: WC = Whitfield Carter LLP (Buyer); CB = Crayford Bellamy LLP (Sellers).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Document / Step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Resp.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Share Purchase Agreement (executed by all parties)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WC/CB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Disclosure Letter and disclosure bundle (index v4)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Tax Covenant (Schedule 6 to SPA)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Board minutes — Holbeck Spa &amp; Wellness Group Ltd (approve transfers)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Board minutes — Kingsford Wellness Bidco Ltd (approve acquisition)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Board minutes — Kingsford Group Ltd (approve guarantee)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Stock transfer forms for the Shares (1,000,000 ords)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Share certificates / indemnity for lost certificates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Resignation letters — outgoing directors and secretary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Deed of release of debenture (Clydesford Bank plc)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Waiver of pre-emption (Aldington investment agreement)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Statutory registers, minute books, certificate of incorporation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Transitional consultancy agreement — Daniel Holbeck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Funds Flow Statement (final)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Completion Statement / estimated Net Debt schedule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Escrow Agreement and escrow account confirmation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Payment of cash consideration (£31,800,000)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Payment of Escrow Amount (£1,750,000)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●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Land Registry / Companies House post-completion filings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○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Stamping of stock transfer forms and SDRT (£176,500)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○ 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21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Completion Accounts to follow within 30 Business Days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WC/CB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○ —</w:t>
            </w:r>
          </w:p>
        </w:tc>
      </w:tr>
    </w:tbl>
    <w:p>
      <w:pPr>
        <w:spacing w:after="120"/>
      </w:pPr>
      <w:r>
        <w:rPr>
          <w:b w:val="0"/>
          <w:i w:val="0"/>
          <w:sz w:val="18"/>
        </w:rPr>
        <w:t>Prepared by: Elena Marchetti, Associate (Whitfield Carter LLP). Reviewed: James Osei.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Whitfield Carter LLP is a limited liability partnership registered in England and Wales (registered number OC372214). A list of members is open to inspection at the registered office. Authorised and regulated by the Solicitors Regulation Authority (SRA number 597214).   |   WC-00132 | Project Quartz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