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32"/>
        </w:rPr>
        <w:t>Whitfield Carter LLP</w:t>
      </w:r>
    </w:p>
    <w:p>
      <w:pPr>
        <w:jc w:val="right"/>
      </w:pPr>
      <w:r>
        <w:rPr>
          <w:sz w:val="18"/>
        </w:rPr>
        <w:t>22 Bishopsgate, London EC2N 4BQ</w:t>
        <w:br/>
        <w:t>DX 138760 Cheapside  |  T +44 (0)20 7946 0083</w:t>
      </w:r>
    </w:p>
    <w:p>
      <w:pPr>
        <w:pBdr>
          <w:bottom w:val="single" w:sz="8" w:space="1" w:color="1F3864"/>
        </w:pBdr>
      </w:pPr>
    </w:p>
    <w:p>
      <w:pPr>
        <w:spacing w:after="120"/>
      </w:pPr>
      <w:r>
        <w:rPr>
          <w:b w:val="0"/>
          <w:i w:val="0"/>
          <w:sz w:val="20"/>
        </w:rPr>
        <w:t>From: Crayford Bellamy LLP, 9 Park Crescent, Leeds LS1 2RT</w:t>
      </w:r>
    </w:p>
    <w:p>
      <w:pPr>
        <w:spacing w:after="120"/>
      </w:pPr>
      <w:r>
        <w:rPr>
          <w:b w:val="0"/>
          <w:i w:val="0"/>
          <w:sz w:val="20"/>
        </w:rPr>
        <w:t>To: Whitfield Carter LLP, 22 Bishopsgate, London EC2N 4BQ</w:t>
      </w:r>
    </w:p>
    <w:p>
      <w:pPr>
        <w:spacing w:after="120"/>
      </w:pPr>
      <w:r>
        <w:rPr>
          <w:b/>
          <w:i w:val="0"/>
          <w:sz w:val="22"/>
        </w:rPr>
        <w:t>Dated 6 March 2026</w:t>
      </w:r>
    </w:p>
    <w:p>
      <w:pPr>
        <w:spacing w:after="120"/>
      </w:pPr>
      <w:r>
        <w:rPr>
          <w:b w:val="0"/>
          <w:i w:val="0"/>
          <w:sz w:val="22"/>
        </w:rPr>
        <w:t>Dear Sirs</w:t>
      </w:r>
    </w:p>
    <w:p>
      <w:pPr>
        <w:spacing w:after="120"/>
        <w:jc w:val="both"/>
      </w:pPr>
      <w:r>
        <w:rPr>
          <w:b/>
          <w:i w:val="0"/>
          <w:sz w:val="22"/>
        </w:rPr>
        <w:t>Project Quartz — Disclosure Letter relating to the sale of the entire issued share capital of Holbeck Spa &amp; Wellness Group Limited</w:t>
      </w:r>
    </w:p>
    <w:p>
      <w:pPr>
        <w:spacing w:after="120"/>
        <w:jc w:val="both"/>
      </w:pPr>
      <w:r>
        <w:rPr>
          <w:b w:val="0"/>
          <w:i w:val="0"/>
          <w:sz w:val="22"/>
        </w:rPr>
        <w:t>This letter is the Disclosure Letter referred to in the share purchase agreement of even date (the "Agreement") between (1) Kingsford Wellness Bidco Limited, (2) the Sellers and (3) Kingsford Group Limited. Terms defined in the Agreement have the same meaning in this letter. This letter is written and the disclosures are made on the basis set out in clause 9 of the Agreement.</w:t>
      </w:r>
    </w:p>
    <w:p>
      <w:r>
        <w:rPr>
          <w:b/>
          <w:sz w:val="24"/>
        </w:rPr>
        <w:t>1.  General disclosures</w:t>
      </w:r>
    </w:p>
    <w:p>
      <w:pPr>
        <w:spacing w:after="120"/>
        <w:jc w:val="both"/>
      </w:pPr>
      <w:r>
        <w:rPr>
          <w:b w:val="0"/>
          <w:i w:val="0"/>
          <w:sz w:val="22"/>
        </w:rPr>
        <w:t>The Warranties are subject to the following matters, which are disclosed generally and without limitation: (a) all matters apparent from the registers and filed documents of each Group Company at Companies House; (b) all matters which would be revealed by searches at HM Land Registry and the Charges Register against each of the Properties; (c) all matters recorded in the Accounts and Management Accounts; and (d) all matters fairly disclosed in the due diligence data room hosted by the Sellers' Solicitors (index version 4, 28 February 2026).</w:t>
      </w:r>
    </w:p>
    <w:p>
      <w:r>
        <w:rPr>
          <w:b/>
          <w:sz w:val="24"/>
        </w:rPr>
        <w:t>2.  Specific disclosures</w:t>
      </w:r>
    </w:p>
    <w:p>
      <w:pPr>
        <w:jc w:val="both"/>
      </w:pPr>
      <w:r>
        <w:rPr>
          <w:b/>
          <w:sz w:val="22"/>
        </w:rPr>
        <w:t xml:space="preserve">Warranty 1 (Shares):  </w:t>
      </w:r>
      <w:r>
        <w:rPr>
          <w:sz w:val="22"/>
        </w:rPr>
        <w:t>The 20% holding of Aldington Growth Partners LLP is subject to an investment agreement dated 11 June 2021; the drag-along and pre-emption provisions have been waived by deed dated 4 March 2026 (data room ref 2.4).</w:t>
      </w:r>
    </w:p>
    <w:p>
      <w:pPr>
        <w:jc w:val="both"/>
      </w:pPr>
      <w:r>
        <w:rPr>
          <w:b/>
          <w:sz w:val="22"/>
        </w:rPr>
        <w:t xml:space="preserve">Warranty 2 (Accounts):  </w:t>
      </w:r>
      <w:r>
        <w:rPr>
          <w:sz w:val="22"/>
        </w:rPr>
        <w:t>The Accounts include a deferred-consideration creditor of £420,000 in respect of the acquisition of the Ilkley spa business completed in September 2024, payable in two further instalments to March 2026 (data room ref 3.7). This item is included in Net Debt under Schedule 7.</w:t>
      </w:r>
    </w:p>
    <w:p>
      <w:pPr>
        <w:jc w:val="both"/>
      </w:pPr>
      <w:r>
        <w:rPr>
          <w:b/>
          <w:sz w:val="22"/>
        </w:rPr>
        <w:t xml:space="preserve">Warranty 4 (Properties):  </w:t>
      </w:r>
      <w:r>
        <w:rPr>
          <w:sz w:val="22"/>
        </w:rPr>
        <w:t>The Harrogate flagship premises are held under a lease dated 29 September 2018 for a term of 20 years; a rent review is outstanding as at 29 September 2025 and is the subject of without-prejudice correspondence with the landlord (data room ref 4.2). The Leeds and York sites are held freehold; the Ilkley site is licensed pending a new lease.</w:t>
      </w:r>
    </w:p>
    <w:p>
      <w:pPr>
        <w:jc w:val="both"/>
      </w:pPr>
      <w:r>
        <w:rPr>
          <w:b/>
          <w:sz w:val="22"/>
        </w:rPr>
        <w:t xml:space="preserve">Warranty 5 (Contracts):  </w:t>
      </w:r>
      <w:r>
        <w:rPr>
          <w:sz w:val="22"/>
        </w:rPr>
        <w:t>The Company is party to a 5-year exclusive supply agreement with Sentvia Wellbeing Products Ltd dated 1 April 2023, terminable on 12 months' notice; and to a spa-management agreement with the Harrogate hotel operator expiring 31 December 2027 (data room refs 5.1, 5.3).</w:t>
      </w:r>
    </w:p>
    <w:p>
      <w:pPr>
        <w:jc w:val="both"/>
      </w:pPr>
      <w:r>
        <w:rPr>
          <w:b/>
          <w:sz w:val="22"/>
        </w:rPr>
        <w:t xml:space="preserve">Warranty 6 (Employees):  </w:t>
      </w:r>
      <w:r>
        <w:rPr>
          <w:sz w:val="22"/>
        </w:rPr>
        <w:t>Two senior therapists are on a period of consultation regarding a proposed change to commission terms; no claims have been intimated. The Managing Director's service contract will be replaced by a transitional consultancy on Completion (data room ref 6.5).</w:t>
      </w:r>
    </w:p>
    <w:p>
      <w:pPr>
        <w:jc w:val="both"/>
      </w:pPr>
      <w:r>
        <w:rPr>
          <w:b/>
          <w:sz w:val="22"/>
        </w:rPr>
        <w:t xml:space="preserve">Warranty 7 (Litigation/compliance):  </w:t>
      </w:r>
      <w:r>
        <w:rPr>
          <w:sz w:val="22"/>
        </w:rPr>
        <w:t>A personal-injury claim by a former client arising from a hydrotherapy incident in 2024 is fully covered by the Company's public-liability insurance, with a reserve of £18,500; insurers are conducting the defence (data room ref 7.2). A routine Environmental Health inspection of the Leeds site in 2025 resulted in two minor recommendations, both addressed.</w:t>
      </w:r>
    </w:p>
    <w:p>
      <w:pPr>
        <w:jc w:val="both"/>
      </w:pPr>
      <w:r>
        <w:rPr>
          <w:b/>
          <w:sz w:val="22"/>
        </w:rPr>
        <w:t xml:space="preserve">Warranty 8 (Tax):  </w:t>
      </w:r>
      <w:r>
        <w:rPr>
          <w:sz w:val="22"/>
        </w:rPr>
        <w:t>The Company has an outstanding R&amp;D tax-credit claim of £64,000 for the year ended 31 March 2024 currently under HMRC review; the amount is not recognised in the Completion Accounts (data room ref 8.1).</w:t>
      </w:r>
    </w:p>
    <w:p>
      <w:pPr>
        <w:spacing w:after="400"/>
      </w:pPr>
      <w:r>
        <w:rPr>
          <w:b w:val="0"/>
          <w:i w:val="0"/>
          <w:sz w:val="22"/>
        </w:rPr>
        <w:t>Yours faithfully</w:t>
      </w:r>
    </w:p>
    <w:p>
      <w:pPr>
        <w:spacing w:after="120"/>
      </w:pPr>
      <w:r>
        <w:rPr>
          <w:b w:val="0"/>
          <w:i w:val="0"/>
          <w:sz w:val="22"/>
        </w:rPr>
        <w:t>Crayford Bellamy LLP</w:t>
      </w:r>
    </w:p>
    <w:p>
      <w:pPr>
        <w:spacing w:after="120"/>
      </w:pPr>
      <w:r>
        <w:rPr>
          <w:b w:val="0"/>
          <w:i w:val="0"/>
          <w:sz w:val="22"/>
        </w:rPr>
        <w:t>Acknowledged and received without prejudice to the Buyer's rights under the Agreement: Whitfield Carter LLP, for and on behalf of the Buyer.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Whitfield Carter LLP is a limited liability partnership registered in England and Wales (registered number OC372214). A list of members is open to inspection at the registered office. Authorised and regulated by the Solicitors Regulation Authority (SRA number 597214).   |   WC-00132 | Project Quartz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