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2"/>
        </w:rPr>
        <w:t>Whitfield Carter LLP</w:t>
      </w:r>
    </w:p>
    <w:p>
      <w:pPr>
        <w:jc w:val="right"/>
      </w:pPr>
      <w:r>
        <w:rPr>
          <w:sz w:val="18"/>
        </w:rPr>
        <w:t>22 Bishopsgate, London EC2N 4BQ</w:t>
        <w:br/>
        <w:t>DX 138760 Cheapside  |  T +44 (0)20 7946 0083</w:t>
      </w:r>
    </w:p>
    <w:p>
      <w:pPr>
        <w:pBdr>
          <w:bottom w:val="single" w:sz="8" w:space="1" w:color="1F3864"/>
        </w:pBdr>
      </w:pPr>
    </w:p>
    <w:p>
      <w:pPr>
        <w:jc w:val="center"/>
      </w:pPr>
      <w:r>
        <w:rPr>
          <w:b/>
          <w:i w:val="0"/>
          <w:sz w:val="22"/>
        </w:rPr>
        <w:t>STRICTLY PRIVATE &amp; CONFIDENTIAL  —  SUBJECT TO CONTRACT</w:t>
      </w:r>
    </w:p>
    <w:p>
      <w:pPr>
        <w:jc w:val="center"/>
      </w:pPr>
      <w:r>
        <w:rPr>
          <w:b/>
          <w:sz w:val="30"/>
        </w:rPr>
        <w:t>HEADS OF TERMS</w:t>
      </w:r>
    </w:p>
    <w:p>
      <w:pPr>
        <w:jc w:val="center"/>
      </w:pPr>
      <w:r>
        <w:rPr>
          <w:b w:val="0"/>
          <w:i/>
          <w:sz w:val="22"/>
        </w:rPr>
        <w:t>Proposed acquisition by Kingsford Group of Holbeck Spa &amp; Wellness Group Limited ("Project Quartz")</w:t>
      </w:r>
    </w:p>
    <w:p>
      <w:pPr>
        <w:spacing w:after="120"/>
      </w:pPr>
      <w:r>
        <w:rPr>
          <w:b/>
          <w:i w:val="0"/>
          <w:sz w:val="22"/>
        </w:rPr>
        <w:t>Dated 8 December 2025</w:t>
      </w:r>
    </w:p>
    <w:p>
      <w:pPr>
        <w:spacing w:after="120"/>
        <w:jc w:val="both"/>
      </w:pPr>
      <w:r>
        <w:rPr>
          <w:b w:val="0"/>
          <w:i w:val="0"/>
          <w:sz w:val="22"/>
        </w:rPr>
        <w:t>These Heads of Terms record the principal terms on which Kingsford Group Limited (or a wholly-owned subsidiary, "Kingsford") proposes to acquire the entire issued share capital of Holbeck Spa &amp; Wellness Group Limited ("Holbeck" or the "Company"). Save for paragraphs 9 (Exclusivity), 10 (Costs) and 11 (Confidentiality), which are intended to be legally binding, these Heads of Terms are subject to contract and not legally binding.</w:t>
      </w:r>
    </w:p>
    <w:p>
      <w:r>
        <w:rPr>
          <w:b/>
          <w:sz w:val="22"/>
        </w:rPr>
        <w:t>1. Transaction</w:t>
      </w:r>
    </w:p>
    <w:p>
      <w:pPr>
        <w:spacing w:after="120"/>
        <w:jc w:val="both"/>
      </w:pPr>
      <w:r>
        <w:rPr>
          <w:b w:val="0"/>
          <w:i w:val="0"/>
          <w:sz w:val="22"/>
        </w:rPr>
        <w:t>Acquisition by Kingsford of 100% of the issued share capital of Holbeck (1,000,000 ordinary shares of £1.00 each) from the Sellers, free from encumbrances.</w:t>
      </w:r>
    </w:p>
    <w:p>
      <w:r>
        <w:rPr>
          <w:b/>
          <w:sz w:val="22"/>
        </w:rPr>
        <w:t>2. Sellers</w:t>
      </w:r>
    </w:p>
    <w:p>
      <w:pPr>
        <w:spacing w:after="120"/>
        <w:jc w:val="both"/>
      </w:pPr>
      <w:r>
        <w:rPr>
          <w:b w:val="0"/>
          <w:i w:val="0"/>
          <w:sz w:val="22"/>
        </w:rPr>
        <w:t>Daniel Holbeck (52.5%), Margaret Holbeck (17.5%), The Holbeck Family Trust (10%) and Aldington Growth Partners LLP (20%).</w:t>
      </w:r>
    </w:p>
    <w:p>
      <w:r>
        <w:rPr>
          <w:b/>
          <w:sz w:val="22"/>
        </w:rPr>
        <w:t>3. Structure &amp; price</w:t>
      </w:r>
    </w:p>
    <w:p>
      <w:pPr>
        <w:spacing w:after="120"/>
        <w:jc w:val="both"/>
      </w:pPr>
      <w:r>
        <w:rPr>
          <w:b w:val="0"/>
          <w:i w:val="0"/>
          <w:sz w:val="22"/>
        </w:rPr>
        <w:t>The transaction is to be effected on a cash-free, debt-free basis. The enterprise value is £38,500,000. Estimated Net Debt at completion is £3,200,000, giving an indicative equity value of £35,300,000.</w:t>
      </w:r>
    </w:p>
    <w:p>
      <w:r>
        <w:rPr>
          <w:b/>
          <w:sz w:val="22"/>
        </w:rPr>
        <w:t>4. Consideration</w:t>
      </w:r>
    </w:p>
    <w:p>
      <w:pPr>
        <w:spacing w:after="120"/>
        <w:jc w:val="both"/>
      </w:pPr>
      <w:r>
        <w:rPr>
          <w:b w:val="0"/>
          <w:i w:val="0"/>
          <w:sz w:val="22"/>
        </w:rPr>
        <w:t>Of the equity value: (a) £31,800,000 payable in cash on completion; (b) £1,750,000 retained in escrow for 18 months as security for warranty and tax claims; and (c) up to £1,750,000 of deferred consideration payable by reference to FY27 audited EBITDA.</w:t>
      </w:r>
    </w:p>
    <w:p>
      <w:r>
        <w:rPr>
          <w:b/>
          <w:sz w:val="22"/>
        </w:rPr>
        <w:t>5. Completion accounts</w:t>
      </w:r>
    </w:p>
    <w:p>
      <w:pPr>
        <w:spacing w:after="120"/>
        <w:jc w:val="both"/>
      </w:pPr>
      <w:r>
        <w:rPr>
          <w:b w:val="0"/>
          <w:i w:val="0"/>
          <w:sz w:val="22"/>
        </w:rPr>
        <w:t>A completion-accounts mechanism will adjust the cash consideration pound-for-pound for any difference between actual Net Debt and the £3,200,000 estimate.</w:t>
      </w:r>
    </w:p>
    <w:p>
      <w:r>
        <w:rPr>
          <w:b/>
          <w:sz w:val="22"/>
        </w:rPr>
        <w:t>6. Conditions</w:t>
      </w:r>
    </w:p>
    <w:p>
      <w:pPr>
        <w:spacing w:after="120"/>
        <w:jc w:val="both"/>
      </w:pPr>
      <w:r>
        <w:rPr>
          <w:b w:val="0"/>
          <w:i w:val="0"/>
          <w:sz w:val="22"/>
        </w:rPr>
        <w:t>Completion conditional on Kingsford board approval, satisfactory completion of due diligence, release of all security over the Shares and assets, and no material adverse change.</w:t>
      </w:r>
    </w:p>
    <w:p>
      <w:r>
        <w:rPr>
          <w:b/>
          <w:sz w:val="22"/>
        </w:rPr>
        <w:t>7. Warranties &amp; indemnities</w:t>
      </w:r>
    </w:p>
    <w:p>
      <w:pPr>
        <w:spacing w:after="120"/>
        <w:jc w:val="both"/>
      </w:pPr>
      <w:r>
        <w:rPr>
          <w:b w:val="0"/>
          <w:i w:val="0"/>
          <w:sz w:val="22"/>
        </w:rPr>
        <w:t>Customary warranties from the Sellers (several, subject to a Relevant Proportion cap), a tax covenant, and agreed limitations (cap of 25% of consideration, de minimis £35,000, basket £450,000; general claims 24 months, tax 7 years).</w:t>
      </w:r>
    </w:p>
    <w:p>
      <w:r>
        <w:rPr>
          <w:b/>
          <w:sz w:val="22"/>
        </w:rPr>
        <w:t>8. Management &amp; restrictive covenants</w:t>
      </w:r>
    </w:p>
    <w:p>
      <w:pPr>
        <w:spacing w:after="120"/>
        <w:jc w:val="both"/>
      </w:pPr>
      <w:r>
        <w:rPr>
          <w:b w:val="0"/>
          <w:i w:val="0"/>
          <w:sz w:val="22"/>
        </w:rPr>
        <w:t>Daniel Holbeck to remain as Managing Director for a transition period of 12 months. Two-year non-compete and non-solicitation undertakings from the individual Sellers.</w:t>
      </w:r>
    </w:p>
    <w:p>
      <w:r>
        <w:rPr>
          <w:b/>
          <w:sz w:val="22"/>
        </w:rPr>
        <w:t>9. Exclusivity (binding)</w:t>
      </w:r>
    </w:p>
    <w:p>
      <w:pPr>
        <w:spacing w:after="120"/>
        <w:jc w:val="both"/>
      </w:pPr>
      <w:r>
        <w:rPr>
          <w:b w:val="0"/>
          <w:i w:val="0"/>
          <w:sz w:val="22"/>
        </w:rPr>
        <w:t>Holbeck and the Sellers grant Kingsford exclusivity until 28 February 2026, during which they shall not solicit, encourage or enter into discussions with any other party regarding a sale of the Company.</w:t>
      </w:r>
    </w:p>
    <w:p>
      <w:r>
        <w:rPr>
          <w:b/>
          <w:sz w:val="22"/>
        </w:rPr>
        <w:t>10. Costs (binding)</w:t>
      </w:r>
    </w:p>
    <w:p>
      <w:pPr>
        <w:spacing w:after="120"/>
        <w:jc w:val="both"/>
      </w:pPr>
      <w:r>
        <w:rPr>
          <w:b w:val="0"/>
          <w:i w:val="0"/>
          <w:sz w:val="22"/>
        </w:rPr>
        <w:t>Each party bears its own costs, save that if Holbeck or the Sellers withdraw in breach of the exclusivity undertaking, they shall reimburse Kingsford's reasonable third-party costs up to £75,000.</w:t>
      </w:r>
    </w:p>
    <w:p>
      <w:r>
        <w:rPr>
          <w:b/>
          <w:sz w:val="22"/>
        </w:rPr>
        <w:t>11. Confidentiality (binding)</w:t>
      </w:r>
    </w:p>
    <w:p>
      <w:pPr>
        <w:spacing w:after="120"/>
        <w:jc w:val="both"/>
      </w:pPr>
      <w:r>
        <w:rPr>
          <w:b w:val="0"/>
          <w:i w:val="0"/>
          <w:sz w:val="22"/>
        </w:rPr>
        <w:t>The existence and terms of these Heads of Terms are confidential and subject to the mutual NDA dated 17 November 2025.</w:t>
      </w:r>
    </w:p>
    <w:p>
      <w:r>
        <w:rPr>
          <w:b/>
          <w:sz w:val="22"/>
        </w:rPr>
        <w:t>12. Timetable</w:t>
      </w:r>
    </w:p>
    <w:p>
      <w:pPr>
        <w:spacing w:after="120"/>
        <w:jc w:val="both"/>
      </w:pPr>
      <w:r>
        <w:rPr>
          <w:b w:val="0"/>
          <w:i w:val="0"/>
          <w:sz w:val="22"/>
        </w:rPr>
        <w:t>The parties aim to exchange and complete the SPA by early March 2026.</w:t>
      </w:r>
    </w:p>
    <w:p>
      <w:r>
        <w:rPr>
          <w:b/>
          <w:sz w:val="22"/>
        </w:rPr>
        <w:t>13. Advisers</w:t>
      </w:r>
    </w:p>
    <w:p>
      <w:pPr>
        <w:spacing w:after="120"/>
        <w:jc w:val="both"/>
      </w:pPr>
      <w:r>
        <w:rPr>
          <w:b w:val="0"/>
          <w:i w:val="0"/>
          <w:sz w:val="22"/>
        </w:rPr>
        <w:t>Kingsford: Whitfield Carter LLP (legal), Marlow Tax &amp; Advisory Ltd (financial/tax DD). Holbeck/Sellers: Crayford Bellamy LLP (legal).</w:t>
      </w:r>
    </w:p>
    <w:p>
      <w:r>
        <w:rPr>
          <w:b/>
          <w:sz w:val="22"/>
        </w:rPr>
        <w:t>14. Governing law</w:t>
      </w:r>
    </w:p>
    <w:p>
      <w:pPr>
        <w:spacing w:after="120"/>
        <w:jc w:val="both"/>
      </w:pPr>
      <w:r>
        <w:rPr>
          <w:b w:val="0"/>
          <w:i w:val="0"/>
          <w:sz w:val="22"/>
        </w:rPr>
        <w:t>These Heads of Terms are governed by the law of England and Wales.</w:t>
      </w:r>
    </w:p>
    <w:p/>
    <w:p>
      <w:pPr>
        <w:spacing w:after="120"/>
      </w:pPr>
      <w:r>
        <w:rPr>
          <w:b/>
          <w:i w:val="0"/>
          <w:sz w:val="22"/>
        </w:rPr>
        <w:t>Agreed and acknowledged:</w:t>
      </w:r>
    </w:p>
    <w:p>
      <w:pPr>
        <w:spacing w:after="120"/>
      </w:pPr>
      <w:r>
        <w:rPr>
          <w:b w:val="0"/>
          <w:i w:val="0"/>
          <w:sz w:val="22"/>
        </w:rPr>
        <w:t>For Kingsford Group Limited: ........................ (Nathan Reilly)      For and on behalf of the Sellers: ........................ (Daniel Holbeck)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Whitfield Carter LLP is a limited liability partnership registered in England and Wales (registered number OC372214). A list of members is open to inspection at the registered office. Authorised and regulated by the Solicitors Regulation Authority (SRA number 597214).   |   WC-00132 | Project Quartz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