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CONFIDENTIALITY AGREEMENT</w:t>
      </w:r>
    </w:p>
    <w:p>
      <w:pPr>
        <w:jc w:val="center"/>
      </w:pPr>
      <w:r>
        <w:rPr>
          <w:b w:val="0"/>
          <w:i/>
          <w:sz w:val="22"/>
        </w:rPr>
        <w:t>(Mutual Non-Disclosure Agreement)</w:t>
      </w:r>
    </w:p>
    <w:p/>
    <w:p>
      <w:pPr>
        <w:spacing w:after="120"/>
      </w:pPr>
      <w:r>
        <w:rPr>
          <w:b/>
          <w:i w:val="0"/>
          <w:sz w:val="22"/>
        </w:rPr>
        <w:t>DATED 17 November 2025</w:t>
      </w:r>
    </w:p>
    <w:p>
      <w:r>
        <w:rPr>
          <w:b/>
          <w:sz w:val="24"/>
        </w:rPr>
        <w:t>PARTIES</w:t>
      </w:r>
    </w:p>
    <w:p>
      <w:pPr>
        <w:spacing w:after="120"/>
        <w:ind w:left="576" w:hanging="576"/>
        <w:jc w:val="both"/>
      </w:pPr>
      <w:r>
        <w:rPr>
          <w:b w:val="0"/>
          <w:sz w:val="22"/>
        </w:rPr>
        <w:t xml:space="preserve">(1)   </w:t>
      </w:r>
      <w:r>
        <w:rPr>
          <w:sz w:val="22"/>
        </w:rPr>
        <w:t>KINGSFORD GROUP LIMITED (registered number 07731220) whose registered office is at Kingsford House, 5 Aldermanbury Square, London EC2V 7HR ("Kingsford"); and</w:t>
      </w:r>
    </w:p>
    <w:p>
      <w:pPr>
        <w:spacing w:after="120"/>
        <w:ind w:left="576" w:hanging="576"/>
        <w:jc w:val="both"/>
      </w:pPr>
      <w:r>
        <w:rPr>
          <w:b w:val="0"/>
          <w:sz w:val="22"/>
        </w:rPr>
        <w:t xml:space="preserve">(2)   </w:t>
      </w:r>
      <w:r>
        <w:rPr>
          <w:sz w:val="22"/>
        </w:rPr>
        <w:t>HOLBECK SPA &amp; WELLNESS GROUP LIMITED (registered number 08914477) whose registered office is at The Old Pump House, Holbeck Lane, Harrogate HG2 9JT ("Holbeck"),</w:t>
      </w:r>
    </w:p>
    <w:p>
      <w:pPr>
        <w:spacing w:after="120"/>
      </w:pPr>
      <w:r>
        <w:rPr>
          <w:b w:val="0"/>
          <w:i w:val="0"/>
          <w:sz w:val="22"/>
        </w:rPr>
        <w:t>each a "Party" and together the "Parties".</w:t>
      </w:r>
    </w:p>
    <w:p>
      <w:r>
        <w:rPr>
          <w:b/>
          <w:sz w:val="24"/>
        </w:rPr>
        <w:t>BACKGROUND</w:t>
      </w:r>
    </w:p>
    <w:p>
      <w:pPr>
        <w:spacing w:after="120"/>
        <w:jc w:val="both"/>
      </w:pPr>
      <w:r>
        <w:rPr>
          <w:b w:val="0"/>
          <w:i w:val="0"/>
          <w:sz w:val="22"/>
        </w:rPr>
        <w:t>The Parties wish to explore a possible transaction involving the acquisition by Kingsford (or a member of its group) of the entire issued share capital of Holbeck (the "Purpose"). In connection with the Purpose each Party may disclose Confidential Information to the other. This Agreement sets out the terms on which such Confidential Information is to be treated.</w:t>
      </w:r>
    </w:p>
    <w:p>
      <w:pPr>
        <w:spacing w:after="120"/>
      </w:pPr>
      <w:r>
        <w:rPr>
          <w:b/>
          <w:i w:val="0"/>
          <w:sz w:val="22"/>
        </w:rPr>
        <w:t>IT IS AGREED as follows:</w:t>
      </w:r>
    </w:p>
    <w:p>
      <w:pPr>
        <w:spacing w:before="160"/>
      </w:pPr>
      <w:r>
        <w:rPr>
          <w:b/>
          <w:sz w:val="22"/>
        </w:rPr>
        <w:t>1.  DEFINITIONS</w:t>
      </w:r>
    </w:p>
    <w:p>
      <w:pPr>
        <w:spacing w:after="120"/>
        <w:ind w:left="576" w:hanging="576"/>
        <w:jc w:val="both"/>
      </w:pPr>
      <w:r>
        <w:rPr>
          <w:b w:val="0"/>
          <w:sz w:val="22"/>
        </w:rPr>
        <w:t xml:space="preserve">1.1   </w:t>
      </w:r>
      <w:r>
        <w:rPr>
          <w:sz w:val="22"/>
        </w:rPr>
        <w:t>"Confidential Information" means all information of whatever nature (whether written, oral, electronic or in any other form) relating to a Party, its group, business, customers, financial or trading position, assets, employees, know-how or the existence and subject-matter of the discussions concerning the Purpose, which is disclosed by or on behalf of the Disclosing Party to the Receiving Party.</w:t>
      </w:r>
    </w:p>
    <w:p>
      <w:pPr>
        <w:spacing w:after="120"/>
        <w:ind w:left="576" w:hanging="576"/>
        <w:jc w:val="both"/>
      </w:pPr>
      <w:r>
        <w:rPr>
          <w:b w:val="0"/>
          <w:sz w:val="22"/>
        </w:rPr>
        <w:t xml:space="preserve">1.2   </w:t>
      </w:r>
      <w:r>
        <w:rPr>
          <w:sz w:val="22"/>
        </w:rPr>
        <w:t>"Representatives" means, in relation to a Party, its directors, officers, employees, professional advisers and financiers who need to know the Confidential Information for the Purpose.</w:t>
      </w:r>
    </w:p>
    <w:p>
      <w:pPr>
        <w:spacing w:before="160"/>
      </w:pPr>
      <w:r>
        <w:rPr>
          <w:b/>
          <w:sz w:val="22"/>
        </w:rPr>
        <w:t>2.  OBLIGATIONS OF CONFIDENTIALITY</w:t>
      </w:r>
    </w:p>
    <w:p>
      <w:pPr>
        <w:spacing w:after="120"/>
        <w:ind w:left="576" w:hanging="576"/>
        <w:jc w:val="both"/>
      </w:pPr>
      <w:r>
        <w:rPr>
          <w:b w:val="0"/>
          <w:sz w:val="22"/>
        </w:rPr>
        <w:t xml:space="preserve">2.1   </w:t>
      </w:r>
      <w:r>
        <w:rPr>
          <w:sz w:val="22"/>
        </w:rPr>
        <w:t>The Receiving Party shall keep the Confidential Information secret and confidential and shall not use it for any purpose other than the Purpose, nor disclose it to any person except to its Representatives in accordance with clause 2.2.</w:t>
      </w:r>
    </w:p>
    <w:p>
      <w:pPr>
        <w:spacing w:after="120"/>
        <w:ind w:left="576" w:hanging="576"/>
        <w:jc w:val="both"/>
      </w:pPr>
      <w:r>
        <w:rPr>
          <w:b w:val="0"/>
          <w:sz w:val="22"/>
        </w:rPr>
        <w:t xml:space="preserve">2.2   </w:t>
      </w:r>
      <w:r>
        <w:rPr>
          <w:sz w:val="22"/>
        </w:rPr>
        <w:t>The Receiving Party may disclose Confidential Information to its Representatives provided that it procures that each such Representative complies with the terms of this Agreement as if it were a party, and the Receiving Party is responsible for any breach by its Representatives.</w:t>
      </w:r>
    </w:p>
    <w:p>
      <w:pPr>
        <w:spacing w:after="120"/>
        <w:ind w:left="576" w:hanging="576"/>
        <w:jc w:val="both"/>
      </w:pPr>
      <w:r>
        <w:rPr>
          <w:b w:val="0"/>
          <w:sz w:val="22"/>
        </w:rPr>
        <w:t xml:space="preserve">2.3   </w:t>
      </w:r>
      <w:r>
        <w:rPr>
          <w:sz w:val="22"/>
        </w:rPr>
        <w:t>The obligations in this clause 2 do not apply to information that is or becomes publicly available (other than by breach of this Agreement), was lawfully in the Receiving Party's possession before disclosure, or is required to be disclosed by law or a competent authority (in which case the Receiving Party shall, where lawful, give prior notice).</w:t>
      </w:r>
    </w:p>
    <w:p>
      <w:pPr>
        <w:spacing w:before="160"/>
      </w:pPr>
      <w:r>
        <w:rPr>
          <w:b/>
          <w:sz w:val="22"/>
        </w:rPr>
        <w:t>3.  RETURN OR DESTRUCTION</w:t>
      </w:r>
    </w:p>
    <w:p>
      <w:pPr>
        <w:spacing w:after="120"/>
        <w:ind w:left="576" w:hanging="576"/>
        <w:jc w:val="both"/>
      </w:pPr>
      <w:r>
        <w:rPr>
          <w:b w:val="0"/>
          <w:sz w:val="22"/>
        </w:rPr>
        <w:t xml:space="preserve">3.1   </w:t>
      </w:r>
      <w:r>
        <w:rPr>
          <w:sz w:val="22"/>
        </w:rPr>
        <w:t>On written request the Receiving Party shall promptly return or destroy (and certify the destruction of) all Confidential Information and any copies, save for one copy which may be retained for compliance and record-keeping purposes or in back-up archives.</w:t>
      </w:r>
    </w:p>
    <w:p>
      <w:pPr>
        <w:spacing w:before="160"/>
      </w:pPr>
      <w:r>
        <w:rPr>
          <w:b/>
          <w:sz w:val="22"/>
        </w:rPr>
        <w:t>4.  NO REPRESENTATION; NON-SOLICITATION</w:t>
      </w:r>
    </w:p>
    <w:p>
      <w:pPr>
        <w:spacing w:after="120"/>
        <w:ind w:left="576" w:hanging="576"/>
        <w:jc w:val="both"/>
      </w:pPr>
      <w:r>
        <w:rPr>
          <w:b w:val="0"/>
          <w:sz w:val="22"/>
        </w:rPr>
        <w:t xml:space="preserve">4.1   </w:t>
      </w:r>
      <w:r>
        <w:rPr>
          <w:sz w:val="22"/>
        </w:rPr>
        <w:t>Neither Party makes any representation or warranty as to the accuracy or completeness of any Confidential Information, and neither Party shall be under any obligation to proceed with any transaction.</w:t>
      </w:r>
    </w:p>
    <w:p>
      <w:pPr>
        <w:spacing w:after="120"/>
        <w:ind w:left="576" w:hanging="576"/>
        <w:jc w:val="both"/>
      </w:pPr>
      <w:r>
        <w:rPr>
          <w:b w:val="0"/>
          <w:sz w:val="22"/>
        </w:rPr>
        <w:t xml:space="preserve">4.2   </w:t>
      </w:r>
      <w:r>
        <w:rPr>
          <w:sz w:val="22"/>
        </w:rPr>
        <w:t>For 12 months from the date of this Agreement neither Party shall solicit for employment any senior employee of the other with whom it has had contact in connection with the Purpose, save that general advertising not specifically targeted shall not breach this clause.</w:t>
      </w:r>
    </w:p>
    <w:p>
      <w:pPr>
        <w:spacing w:before="160"/>
      </w:pPr>
      <w:r>
        <w:rPr>
          <w:b/>
          <w:sz w:val="22"/>
        </w:rPr>
        <w:t>5.  TERM</w:t>
      </w:r>
    </w:p>
    <w:p>
      <w:pPr>
        <w:spacing w:after="120"/>
        <w:ind w:left="576" w:hanging="576"/>
        <w:jc w:val="both"/>
      </w:pPr>
      <w:r>
        <w:rPr>
          <w:b w:val="0"/>
          <w:sz w:val="22"/>
        </w:rPr>
        <w:t xml:space="preserve">5.1   </w:t>
      </w:r>
      <w:r>
        <w:rPr>
          <w:sz w:val="22"/>
        </w:rPr>
        <w:t>This Agreement shall continue in force for 3 years from its date, save that the obligations of confidentiality in respect of Confidential Information already disclosed shall survive termination.</w:t>
      </w:r>
    </w:p>
    <w:p>
      <w:pPr>
        <w:spacing w:before="160"/>
      </w:pPr>
      <w:r>
        <w:rPr>
          <w:b/>
          <w:sz w:val="22"/>
        </w:rPr>
        <w:t>6.  GENERAL</w:t>
      </w:r>
    </w:p>
    <w:p>
      <w:pPr>
        <w:spacing w:after="120"/>
        <w:ind w:left="576" w:hanging="576"/>
        <w:jc w:val="both"/>
      </w:pPr>
      <w:r>
        <w:rPr>
          <w:b w:val="0"/>
          <w:sz w:val="22"/>
        </w:rPr>
        <w:t xml:space="preserve">6.1   </w:t>
      </w:r>
      <w:r>
        <w:rPr>
          <w:sz w:val="22"/>
        </w:rPr>
        <w:t>This Agreement constitutes the entire agreement between the Parties in relation to its subject-matter. No variation is effective unless in writing and signed by both Parties.</w:t>
      </w:r>
    </w:p>
    <w:p>
      <w:pPr>
        <w:spacing w:after="120"/>
        <w:ind w:left="576" w:hanging="576"/>
        <w:jc w:val="both"/>
      </w:pPr>
      <w:r>
        <w:rPr>
          <w:b w:val="0"/>
          <w:sz w:val="22"/>
        </w:rPr>
        <w:t xml:space="preserve">6.2   </w:t>
      </w:r>
      <w:r>
        <w:rPr>
          <w:sz w:val="22"/>
        </w:rPr>
        <w:t>This Agreement and any dispute arising out of or in connection with it shall be governed by the law of England and Wales and the Parties submit to the exclusive jurisdiction of the courts of England and Wales.</w:t>
      </w:r>
    </w:p>
    <w:p/>
    <w:p>
      <w:pPr>
        <w:spacing w:after="120"/>
      </w:pPr>
      <w:r>
        <w:rPr>
          <w:b/>
          <w:i w:val="0"/>
          <w:sz w:val="22"/>
        </w:rPr>
        <w:t>SIGNED for and on behalf of KINGSFORD GROUP LIMITED</w:t>
      </w:r>
    </w:p>
    <w:p>
      <w:pPr>
        <w:spacing w:after="120"/>
      </w:pPr>
      <w:r>
        <w:rPr>
          <w:b w:val="0"/>
          <w:i w:val="0"/>
          <w:sz w:val="22"/>
        </w:rPr>
        <w:t>Name: Nathan Reilly      Title: Head of M&amp;A / Corporate Development      Signature: [signed] N. Reilly      Date: 17 November 2025</w:t>
      </w:r>
    </w:p>
    <w:p/>
    <w:p>
      <w:pPr>
        <w:spacing w:after="120"/>
      </w:pPr>
      <w:r>
        <w:rPr>
          <w:b/>
          <w:i w:val="0"/>
          <w:sz w:val="22"/>
        </w:rPr>
        <w:t>SIGNED for and on behalf of HOLBECK SPA &amp; WELLNESS GROUP LIMITED</w:t>
      </w:r>
    </w:p>
    <w:p>
      <w:pPr>
        <w:spacing w:after="120"/>
      </w:pPr>
      <w:r>
        <w:rPr>
          <w:b w:val="0"/>
          <w:i w:val="0"/>
          <w:sz w:val="22"/>
        </w:rPr>
        <w:t>Name: Daniel Holbeck      Title: Director      Signature: [signed] D. Holbeck      Date: 17 November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Whitfield Carter LLP is a limited liability partnership registered in England and Wales (registered number OC372214). A list of members is open to inspection at the registered office. Authorised and regulated by the Solicitors Regulation Authority (SRA number 597214).   |   WC-00132 | Project Quartz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