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PRIVILEGED &amp; CONFIDENTIAL — SECTION 111A / WITHOUT PREJUDICE</w:t>
      </w:r>
    </w:p>
    <w:p>
      <w:pPr>
        <w:pStyle w:val="Heading1"/>
        <w:spacing w:after="120"/>
      </w:pPr>
      <w:r>
        <w:rPr>
          <w:rFonts w:ascii="Arial" w:cs="Arial" w:eastAsia="Arial" w:hAnsi="Arial"/>
          <w:sz w:val="22"/>
          <w:szCs w:val="22"/>
        </w:rPr>
        <w:t xml:space="preserve">File note of protected settlement conversation</w:t>
      </w:r>
    </w:p>
    <w:p>
      <w:pPr>
        <w:spacing w:after="120"/>
      </w:pPr>
      <w:r>
        <w:rPr>
          <w:rFonts w:ascii="Arial" w:cs="Arial" w:eastAsia="Arial" w:hAnsi="Arial"/>
          <w:sz w:val="22"/>
          <w:szCs w:val="22"/>
        </w:rPr>
        <w:t xml:space="preserve">Matter: Kingsford Group Limited — D. Whitford (WC-00198)</w:t>
      </w:r>
    </w:p>
    <w:p>
      <w:pPr>
        <w:spacing w:after="120"/>
      </w:pPr>
      <w:r>
        <w:rPr>
          <w:rFonts w:ascii="Arial" w:cs="Arial" w:eastAsia="Arial" w:hAnsi="Arial"/>
          <w:sz w:val="22"/>
          <w:szCs w:val="22"/>
        </w:rPr>
        <w:t xml:space="preserve">Prepared by: Tom Gallagher, Associate</w:t>
      </w:r>
    </w:p>
    <w:p>
      <w:pPr>
        <w:spacing w:after="200"/>
      </w:pPr>
      <w:r>
        <w:rPr>
          <w:rFonts w:ascii="Arial" w:cs="Arial" w:eastAsia="Arial" w:hAnsi="Arial"/>
          <w:sz w:val="22"/>
          <w:szCs w:val="22"/>
        </w:rPr>
        <w:t xml:space="preserve">Date of meeting: 11 December 2025; Note finalised: 12 December 2025</w:t>
      </w:r>
    </w:p>
    <w:p>
      <w:pPr>
        <w:pStyle w:val="Heading2"/>
        <w:spacing w:after="120"/>
      </w:pPr>
      <w:r>
        <w:rPr>
          <w:rFonts w:ascii="Arial" w:cs="Arial" w:eastAsia="Arial" w:hAnsi="Arial"/>
          <w:sz w:val="22"/>
          <w:szCs w:val="22"/>
        </w:rPr>
        <w:t xml:space="preserve">Attendees</w:t>
      </w:r>
    </w:p>
    <w:p>
      <w:pPr>
        <w:pStyle w:val="ListParagraph"/>
        <w:numPr>
          <w:ilvl w:val="0"/>
          <w:numId w:val="2"/>
        </w:numPr>
        <w:spacing w:after="80"/>
      </w:pPr>
      <w:r>
        <w:rPr>
          <w:rFonts w:ascii="Arial" w:cs="Arial" w:eastAsia="Arial" w:hAnsi="Arial"/>
          <w:sz w:val="22"/>
          <w:szCs w:val="22"/>
        </w:rPr>
        <w:t xml:space="preserve">Miriam Cole — CFO &amp; Company Secretary, Kingsford Group Limited</w:t>
      </w:r>
    </w:p>
    <w:p>
      <w:pPr>
        <w:pStyle w:val="ListParagraph"/>
        <w:numPr>
          <w:ilvl w:val="0"/>
          <w:numId w:val="2"/>
        </w:numPr>
        <w:spacing w:after="80"/>
      </w:pPr>
      <w:r>
        <w:rPr>
          <w:rFonts w:ascii="Arial" w:cs="Arial" w:eastAsia="Arial" w:hAnsi="Arial"/>
          <w:sz w:val="22"/>
          <w:szCs w:val="22"/>
        </w:rPr>
        <w:t xml:space="preserve">Nathan Reilly — Head of Corporate Development, Kingsford Group Limited</w:t>
      </w:r>
    </w:p>
    <w:p>
      <w:pPr>
        <w:pStyle w:val="ListParagraph"/>
        <w:numPr>
          <w:ilvl w:val="0"/>
          <w:numId w:val="2"/>
        </w:numPr>
        <w:spacing w:after="80"/>
      </w:pPr>
      <w:r>
        <w:rPr>
          <w:rFonts w:ascii="Arial" w:cs="Arial" w:eastAsia="Arial" w:hAnsi="Arial"/>
          <w:sz w:val="22"/>
          <w:szCs w:val="22"/>
        </w:rPr>
        <w:t xml:space="preserve">Daniel Whitford — Group Chief Operating Officer</w:t>
      </w:r>
    </w:p>
    <w:p>
      <w:pPr>
        <w:pStyle w:val="ListParagraph"/>
        <w:numPr>
          <w:ilvl w:val="0"/>
          <w:numId w:val="2"/>
        </w:numPr>
        <w:spacing w:after="80"/>
      </w:pPr>
      <w:r>
        <w:rPr>
          <w:rFonts w:ascii="Arial" w:cs="Arial" w:eastAsia="Arial" w:hAnsi="Arial"/>
          <w:sz w:val="22"/>
          <w:szCs w:val="22"/>
        </w:rPr>
        <w:t xml:space="preserve">Sarah Whitfield and Tom Gallagher — Whitfield Carter LLP (advising the Company)</w:t>
      </w:r>
    </w:p>
    <w:p>
      <w:pPr>
        <w:pStyle w:val="Heading2"/>
        <w:spacing w:after="120"/>
      </w:pPr>
      <w:r>
        <w:rPr>
          <w:rFonts w:ascii="Arial" w:cs="Arial" w:eastAsia="Arial" w:hAnsi="Arial"/>
          <w:sz w:val="22"/>
          <w:szCs w:val="22"/>
        </w:rPr>
        <w:t xml:space="preserve">Purpose and framing</w:t>
      </w:r>
    </w:p>
    <w:p>
      <w:pPr>
        <w:spacing w:after="120"/>
      </w:pPr>
      <w:r>
        <w:rPr>
          <w:rFonts w:ascii="Arial" w:cs="Arial" w:eastAsia="Arial" w:hAnsi="Arial"/>
          <w:sz w:val="22"/>
          <w:szCs w:val="22"/>
        </w:rPr>
        <w:t xml:space="preserve">The meeting was convened as a protected conversation under section 111A of the Employment Rights Act 1996. Ms Cole opened by confirming that the discussion was without prejudice and on a protected basis, that nothing said would be admissible in any ordinary unfair dismissal claim, and that Mr Whitford was free to take advice and respond by 22 December 2025. We noted the carve-outs to section 111A protection (in particular that protection does not apply to claims of automatic unfair dismissal, discrimination, or where there is improper behaviour) and advised the Company throughout to avoid any conduct capable of being characterised as improper.</w:t>
      </w:r>
    </w:p>
    <w:p>
      <w:pPr>
        <w:pStyle w:val="Heading2"/>
        <w:spacing w:after="120"/>
      </w:pPr>
      <w:r>
        <w:rPr>
          <w:rFonts w:ascii="Arial" w:cs="Arial" w:eastAsia="Arial" w:hAnsi="Arial"/>
          <w:sz w:val="22"/>
          <w:szCs w:val="22"/>
        </w:rPr>
        <w:t xml:space="preserve">Substance of the discussion</w:t>
      </w:r>
    </w:p>
    <w:p>
      <w:pPr>
        <w:spacing w:after="120"/>
      </w:pPr>
      <w:r>
        <w:rPr>
          <w:rFonts w:ascii="Arial" w:cs="Arial" w:eastAsia="Arial" w:hAnsi="Arial"/>
          <w:sz w:val="22"/>
          <w:szCs w:val="22"/>
        </w:rPr>
        <w:t xml:space="preserve">Ms Cole explained that, following the group reorganisation approved in September 2025, the Group Chief Operating Officer role was being absorbed into a new Chief Operating and Transformation Officer function reporting structure, and that the Company wished to discuss terms for an agreed departure. She acknowledged Mr Whitford’s grievance of 18 November 2025 and indicated that the Company would prefer to resolve all matters by agreement rather than through the grievance process or litigation.</w:t>
      </w:r>
    </w:p>
    <w:p>
      <w:pPr>
        <w:spacing w:after="120"/>
      </w:pPr>
      <w:r>
        <w:rPr>
          <w:rFonts w:ascii="Arial" w:cs="Arial" w:eastAsia="Arial" w:hAnsi="Arial"/>
          <w:sz w:val="22"/>
          <w:szCs w:val="22"/>
        </w:rPr>
        <w:t xml:space="preserve">Mr Whitford responded that he regarded the removal of his line-management responsibilities in October 2025, and his exclusion from the September board strategy offsite, as a fundamental breach of his service agreement and as detriment for having raised concerns in July 2025 about the recognition of revenue at the Brampton Leisure division. He reserved his position on constructive dismissal and on protected disclosure detriment.</w:t>
      </w:r>
    </w:p>
    <w:p>
      <w:pPr>
        <w:pStyle w:val="Heading2"/>
        <w:spacing w:after="120"/>
      </w:pPr>
      <w:r>
        <w:rPr>
          <w:rFonts w:ascii="Arial" w:cs="Arial" w:eastAsia="Arial" w:hAnsi="Arial"/>
          <w:sz w:val="22"/>
          <w:szCs w:val="22"/>
        </w:rPr>
        <w:t xml:space="preserve">Indicative terms tabled by the Company</w:t>
      </w:r>
    </w:p>
    <w:p>
      <w:pPr>
        <w:spacing w:after="120"/>
      </w:pPr>
      <w:r>
        <w:rPr>
          <w:rFonts w:ascii="Arial" w:cs="Arial" w:eastAsia="Arial" w:hAnsi="Arial"/>
          <w:sz w:val="22"/>
          <w:szCs w:val="22"/>
        </w:rPr>
        <w:t xml:space="preserve">On a strictly without prejudice basis, the Company tabled the following opening position: (a) termination by mutual agreement with effect from 31 January 2026; (b) payment in lieu of his 12-month notice entitlement; (c) an ex gratia compensation payment of £150,000; (d) a contribution to legal fees of £500 plus VAT; and (e) a mutually agreed reference and internal announcement. Mr Whitford’s initial reaction was that the ex gratia element was materially below his expectations given his length of service and the protected disclosure context.</w:t>
      </w:r>
    </w:p>
    <w:p>
      <w:pPr>
        <w:pStyle w:val="Heading2"/>
        <w:spacing w:after="120"/>
      </w:pPr>
      <w:r>
        <w:rPr>
          <w:rFonts w:ascii="Arial" w:cs="Arial" w:eastAsia="Arial" w:hAnsi="Arial"/>
          <w:sz w:val="22"/>
          <w:szCs w:val="22"/>
        </w:rPr>
        <w:t xml:space="preserve">Next steps</w:t>
      </w:r>
    </w:p>
    <w:p>
      <w:pPr>
        <w:pStyle w:val="ListParagraph"/>
        <w:numPr>
          <w:ilvl w:val="0"/>
          <w:numId w:val="2"/>
        </w:numPr>
        <w:spacing w:after="80"/>
      </w:pPr>
      <w:r>
        <w:rPr>
          <w:rFonts w:ascii="Arial" w:cs="Arial" w:eastAsia="Arial" w:hAnsi="Arial"/>
          <w:sz w:val="22"/>
          <w:szCs w:val="22"/>
        </w:rPr>
        <w:t xml:space="preserve">WC to prepare a without prejudice letter recording the Company’s opening offer (issued 15 December 2025).</w:t>
      </w:r>
    </w:p>
    <w:p>
      <w:pPr>
        <w:pStyle w:val="ListParagraph"/>
        <w:numPr>
          <w:ilvl w:val="0"/>
          <w:numId w:val="2"/>
        </w:numPr>
        <w:spacing w:after="80"/>
      </w:pPr>
      <w:r>
        <w:rPr>
          <w:rFonts w:ascii="Arial" w:cs="Arial" w:eastAsia="Arial" w:hAnsi="Arial"/>
          <w:sz w:val="22"/>
          <w:szCs w:val="22"/>
        </w:rPr>
        <w:t xml:space="preserve">WC to prepare a first draft settlement agreement for issue alongside the offer.</w:t>
      </w:r>
    </w:p>
    <w:p>
      <w:pPr>
        <w:pStyle w:val="ListParagraph"/>
        <w:numPr>
          <w:ilvl w:val="0"/>
          <w:numId w:val="2"/>
        </w:numPr>
        <w:spacing w:after="80"/>
      </w:pPr>
      <w:r>
        <w:rPr>
          <w:rFonts w:ascii="Arial" w:cs="Arial" w:eastAsia="Arial" w:hAnsi="Arial"/>
          <w:sz w:val="22"/>
          <w:szCs w:val="22"/>
        </w:rPr>
        <w:t xml:space="preserve">Mr Whitford to nominate his adviser; the Company to fund a reasonable legal fees contribution.</w:t>
      </w:r>
    </w:p>
    <w:p>
      <w:pPr>
        <w:pStyle w:val="ListParagraph"/>
        <w:numPr>
          <w:ilvl w:val="0"/>
          <w:numId w:val="2"/>
        </w:numPr>
        <w:spacing w:after="80"/>
      </w:pPr>
      <w:r>
        <w:rPr>
          <w:rFonts w:ascii="Arial" w:cs="Arial" w:eastAsia="Arial" w:hAnsi="Arial"/>
          <w:sz w:val="22"/>
          <w:szCs w:val="22"/>
        </w:rPr>
        <w:t xml:space="preserve">Target heads of agreement before the Christmas break; longstop for completion end of February 2026.</w:t>
      </w:r>
    </w:p>
    <w:p>
      <w:pPr>
        <w:spacing w:after="120"/>
      </w:pPr>
      <w:r>
        <w:rPr>
          <w:rFonts w:ascii="Arial" w:cs="Arial" w:eastAsia="Arial" w:hAnsi="Arial"/>
          <w:i/>
          <w:iCs/>
          <w:sz w:val="22"/>
          <w:szCs w:val="22"/>
        </w:rPr>
        <w:t xml:space="preserve">This note records the writer’s contemporaneous understanding of the discussion and is privileged. It should not be disclosed outside the Company’s advisory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777777"/>
        <w:sz w:val="13"/>
        <w:szCs w:val="13"/>
      </w:rPr>
      <w:t xml:space="preserve">Whitfield Carter LLP is a limited liability partnership registered in England and Wales. Confidential and may be legally privileged.</w:t>
    </w:r>
  </w:p>
  <w:p>
    <w:pPr>
      <w:jc w:val="center"/>
    </w:pPr>
    <w:r>
      <w:rPr>
        <w:rFonts w:ascii="Arial" w:cs="Arial" w:eastAsia="Arial" w:hAnsi="Arial"/>
        <w:sz w:val="14"/>
        <w:szCs w:val="14"/>
      </w:rPr>
      <w:t xml:space="preserve">Page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sz w:val="26"/>
        <w:szCs w:val="26"/>
      </w:rPr>
      <w:t xml:space="preserve">WHITFIELD CARTER LLP</w:t>
    </w:r>
  </w:p>
  <w:p>
    <w:pPr>
      <w:pBdr>
        <w:bottom w:val="single" w:color="2E4A7B" w:sz="6" w:space="4"/>
      </w:pBdr>
      <w:jc w:val="right"/>
    </w:pPr>
    <w:r>
      <w:rPr>
        <w:rFonts w:ascii="Arial" w:cs="Arial" w:eastAsia="Arial" w:hAnsi="Arial"/>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4A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2026-06-30T21:45:39.104Z</dcterms:created>
  <dcterms:modified xsi:type="dcterms:W3CDTF">2026-06-30T21:45:39.104Z</dcterms:modified>
</cp:coreProperties>
</file>

<file path=docProps/custom.xml><?xml version="1.0" encoding="utf-8"?>
<Properties xmlns="http://schemas.openxmlformats.org/officeDocument/2006/custom-properties" xmlns:vt="http://schemas.openxmlformats.org/officeDocument/2006/docPropsVTypes"/>
</file>