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PROJECT CEDAR — SCHEDULE 2</w:t>
      </w:r>
    </w:p>
    <w:p>
      <w:pPr>
        <w:spacing w:after="40"/>
        <w:jc w:val="center"/>
      </w:pPr>
      <w:r>
        <w:rPr>
          <w:b/>
          <w:bCs/>
        </w:rPr>
        <w:t xml:space="preserve">The Licensed Patents</w:t>
      </w:r>
    </w:p>
    <w:p>
      <w:pPr>
        <w:spacing w:after="160"/>
        <w:jc w:val="center"/>
      </w:pPr>
      <w:r>
        <w:rPr>
          <w:i/>
          <w:iCs/>
          <w:sz w:val="18"/>
          <w:szCs w:val="18"/>
        </w:rPr>
        <w:t xml:space="preserve">Forming part of the Patent and Know-How Licence Agreement between Larkmoor Bioscience Limited and Verrell Beauty Group plc</w:t>
      </w:r>
    </w:p>
    <w:p>
      <w:pPr>
        <w:spacing w:after="100"/>
      </w:pPr>
      <w:r>
        <w:rPr>
          <w:b/>
          <w:bCs/>
        </w:rPr>
        <w:t xml:space="preserve">Part A — Patent families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300"/>
        <w:gridCol w:w="1900"/>
        <w:gridCol w:w="1000"/>
        <w:gridCol w:w="900"/>
        <w:gridCol w:w="1226"/>
        <w:gridCol w:w="900"/>
      </w:tblGrid>
      <w:tr>
        <w:trPr>
          <w:tblHeader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Family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Title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Application / publication no.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Filing date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Jurisdiction</w:t>
            </w:r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Earliest expiry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LBX-P1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Engineered yeast strains for the expression of recombinant structural proteins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EP3842117 / GB2589997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14 Feb 2019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EP</w:t>
            </w:r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Granted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14 Feb 2039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LBX-P1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(as above)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GB2589997B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14 Feb 2019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GB</w:t>
            </w:r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Granted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14 Feb 2039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LBX-P1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(as above)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US17/430,118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14 Feb 2019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</w:t>
            </w:r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Pending (examination)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LBX-P1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(as above)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CH-priority EP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14 Feb 2019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CH</w:t>
            </w:r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Granted (via EP)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14 Feb 2039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LBX-P2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Fed-batch fermentation process for high-titre structural-protein expression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PCT/GB2022/051144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06 May 2022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PCT</w:t>
            </w:r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Nat. phase entered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06 May 2042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LBX-P2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(as above)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EP22725118.4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06 May 2022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EP</w:t>
            </w:r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Pending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06 May 2042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LBX-P2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(as above)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GB2606771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06 May 2022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GB</w:t>
            </w:r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Pending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06 May 2042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LBX-P2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(as above)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US18/119,540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06 May 2022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</w:t>
            </w:r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Pending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LBX-P3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Downstream purification of recombinant structural peptides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GB2612998B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21 Nov 2021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GB</w:t>
            </w:r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Granted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21 Nov 2041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LBX-P3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(as above)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EP21895331.2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21 Nov 2021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EP</w:t>
            </w:r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Pending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21 Nov 2041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LBX-P4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Cosmetic compositions comprising recombinant structural-protein actives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EP4105226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30 Mar 2023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EP</w:t>
            </w:r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Pending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30 Mar 2043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LBX-P4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(as above)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GB2615993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30 Mar 2023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GB</w:t>
            </w:r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Pending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30 Mar 2043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LBX-P4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(as above)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US18/192,884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30 Mar 2023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</w:t>
            </w:r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Pending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Part B — Notes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US applications in families LBX-P1, LBX-P2 and LBX-P4 are under examination; the Licensor will keep the Licensee informed of material office actions in the Territory in accordance with Clause 6.4 of the Agreement.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Earliest expiry dates are stated on the assumption of payment of all renewal fees and do not take account of any patent-term extension or supplementary protection certificate.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Family LBX-P4 (cosmetic compositions) is of particular relevance to the Field and its prosecution will be co-ordinated with the Licensee’s product-development programme.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BBBB" w:sz="4" w:space="1"/>
      </w:pBdr>
      <w:spacing w:before="40"/>
      <w:jc w:val="center"/>
    </w:pPr>
    <w:r>
      <w:rPr>
        <w:color w:val="808080"/>
        <w:sz w:val="15"/>
        <w:szCs w:val="15"/>
      </w:rPr>
      <w:t xml:space="preserve">Strictly private and confidential  |  Page </w:t>
    </w:r>
    <w:r>
      <w:rPr>
        <w:color w:val="80808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5"/>
        <w:szCs w:val="15"/>
      </w:rPr>
      <w:t xml:space="preserve"> of </w:t>
    </w:r>
    <w:r>
      <w:rPr>
        <w:color w:val="80808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b/>
        <w:bCs/>
        <w:color w:val="1F3864"/>
        <w:sz w:val="18"/>
        <w:szCs w:val="18"/>
      </w:rPr>
      <w:t xml:space="preserve">Whitfield Carter LLP</w:t>
    </w:r>
  </w:p>
  <w:p>
    <w:pPr>
      <w:pBdr>
        <w:bottom w:val="single" w:color="1F3864" w:sz="6" w:space="1"/>
      </w:pBdr>
      <w:spacing w:after="40"/>
      <w:jc w:val="right"/>
    </w:pPr>
    <w:r>
      <w:rPr>
        <w:color w:val="808080"/>
        <w:sz w:val="14"/>
        <w:szCs w:val="14"/>
      </w:rPr>
      <w:t xml:space="preserve">22 Bishopsgate, London EC2N 4BQ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0" w:hanging="0"/>
      </w:pPr>
      <w:rPr>
        <w:b/>
        <w:bCs/>
      </w:rPr>
    </w:lvl>
    <w:lvl w:ilvl="1" w15:tentative="1">
      <w:start w:val="1"/>
      <w:numFmt w:val="decimal"/>
      <w:lvlText w:val="%1.%2"/>
      <w:lvlJc w:val="left"/>
      <w:pPr>
        <w:ind w:left="720" w:hanging="720"/>
      </w:pPr>
    </w:lvl>
    <w:lvl w:ilvl="2" w15:tentative="1">
      <w:start w:val="1"/>
      <w:numFmt w:val="lowerLetter"/>
      <w:lvlText w:val="(%3)"/>
      <w:lvlJc w:val="left"/>
      <w:pPr>
        <w:ind w:left="1440" w:hanging="720"/>
      </w:pPr>
    </w:lvl>
    <w:lvl w:ilvl="3" w15:tentative="1">
      <w:start w:val="1"/>
      <w:numFmt w:val="lowerRoman"/>
      <w:lvlText w:val="(%4)"/>
      <w:lvlJc w:val="left"/>
      <w:pPr>
        <w:ind w:left="2160" w:hanging="7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upperLetter"/>
      <w:lvlText w:val="(%1)"/>
      <w:lvlJc w:val="left"/>
      <w:pPr>
        <w:ind w:left="720" w:hanging="7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120"/>
      <w:jc w:val="center"/>
    </w:pPr>
    <w:rPr>
      <w:rFonts w:ascii="Calibri" w:cs="Calibri" w:eastAsia="Calibri" w:hAnsi="Calibri"/>
      <w:b/>
      <w:bCs/>
      <w:sz w:val="32"/>
      <w:szCs w:val="32"/>
    </w:rPr>
  </w:style>
  <w:style w:type="paragraph" w:styleId="Heading1">
    <w:name w:val="Heading 1"/>
    <w:basedOn w:val="Normal"/>
    <w:next w:val="Normal"/>
    <w:qFormat/>
    <w:pPr>
      <w:keepNext/>
      <w:spacing w:after="140" w:before="260"/>
      <w:outlineLvl w:val="0"/>
    </w:pPr>
    <w:rPr>
      <w:rFonts w:ascii="Calibri" w:cs="Calibri" w:eastAsia="Calibri" w:hAnsi="Calibri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100" w:before="160"/>
      <w:outlineLvl w:val="1"/>
    </w:pPr>
    <w:rPr>
      <w:rFonts w:ascii="Calibri" w:cs="Calibri" w:eastAsia="Calibri" w:hAnsi="Calibri"/>
      <w:b/>
      <w:bCs/>
      <w:sz w:val="22"/>
      <w:szCs w:val="22"/>
    </w:rPr>
  </w:style>
  <w:style w:type="paragraph" w:styleId="Recital">
    <w:name w:val="Recital"/>
    <w:basedOn w:val="Normal"/>
    <w:next w:val="Normal"/>
    <w:pPr>
      <w:spacing w:after="120"/>
    </w:pPr>
    <w:rPr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2026-06-26T10:42:21.157Z</dcterms:created>
  <dcterms:modified xsi:type="dcterms:W3CDTF">2026-06-26T10:42:21.157Z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