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CEDAR</w:t>
      </w:r>
    </w:p>
    <w:p>
      <w:pPr>
        <w:spacing w:after="40"/>
        <w:jc w:val="center"/>
      </w:pPr>
      <w:r>
        <w:rPr>
          <w:b/>
          <w:bCs/>
        </w:rPr>
        <w:t xml:space="preserve">Non-Binding Term Sheet — Patent and Know-How Licence</w:t>
      </w:r>
    </w:p>
    <w:p>
      <w:pPr>
        <w:spacing w:after="40"/>
        <w:jc w:val="center"/>
      </w:pPr>
      <w:r>
        <w:t xml:space="preserve">Larkmoor Bioscience Limited (Licensor)  /  Verrell Beauty Group plc (Licensee)</w:t>
      </w:r>
    </w:p>
    <w:p>
      <w:pPr>
        <w:spacing w:after="200"/>
        <w:jc w:val="center"/>
      </w:pPr>
      <w:r>
        <w:rPr>
          <w:i/>
          <w:iCs/>
          <w:sz w:val="18"/>
          <w:szCs w:val="18"/>
        </w:rPr>
        <w:t xml:space="preserve">Draft 1 — 20 October 2025  —  Strictly private and confidential, subject to contract</w:t>
      </w:r>
    </w:p>
    <w:p>
      <w:pPr>
        <w:spacing w:after="160"/>
      </w:pPr>
      <w:r>
        <w:t xml:space="preserve">This term sheet summarises the principal terms on which the parties are willing to proceed with the proposed licence of the Licensor’s LBX-Series precision-fermentation technology. Save for the paragraphs headed Exclusivity, Costs, Confidentiality and Governing Law (which are binding), this term sheet is not legally binding and is subject to contract and to satisfactory due diligence and board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Term</w:t>
            </w:r>
          </w:p>
        </w:tc>
        <w:tc>
          <w:tcPr>
            <w:tcW w:type="dxa" w:w="68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Summary</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Licensor</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Larkmoor Bioscience Limited (company no. 11420987).</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Licensee</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Verrell Beauty Group plc (company no. 09765432).</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Technology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The Licensor’s LBX-Series engineered strains and precision-fermentation/downstream process for recombinant structural-protein actives (recombinant collagen fragment, elastin-like polypeptide and silk-derived peptide), together with related patents and know-how.</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Licence</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Exclusive (even as to the Licensor, subject to a reserved research right), royalty-bearing licence under the Licensed Patents and Licensed Know-How.</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Field</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Cosmetic, personal-care and topical skincare products for human use. Food, feed, pharmaceutical, medical-device and structural-materials applications are expressly excluded and reserved to the Licensor.</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Territory</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UK, EU/EEA, Switzerland and the USA.</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Sub-licensing</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Permitted to Affiliates freely; to third parties with the Licensor’s prior written consent (not to be unreasonably withheld).</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Upfront fee</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£1,750,000, payable within 30 days of signing.</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Milestones</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Up to £4,250,000 in aggregate, payable on technology-transfer completion, regulatory/safety dossier completion, first commercial sale, and on annual Net Sales first exceeding £25m.</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Royalty</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6% of Net Sales where covered by a Valid Claim; 4% where covered by know-how only. Minimum annual royalties stepping from nil (year 1) to £600,000 (year 4+).</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Diligence</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Commercially reasonable endeavours to develop and commercialise; defined development/commercial milestones; remedy for missed milestones is conversion to non-exclusive.</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Improvements</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Licensor improvements within the Field included at no extra charge; Licensee improvements owned by Licensee with a licence-back to the Licensor outside the Field; joint improvements owned jointly.</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IP prosecution</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Licensor controls and funds prosecution and maintenance of the Licensed Patents; Licensor has first right to enforce, Licensee a step-in right.</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Term</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Country-by-country / product-by-product until the later of last Valid Claim expiry and 10 years from first commercial sale; converts to paid-up know-how licence on expiry.</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Warranties / liability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Limited title and authority warranties; no validity warranty; mutual liability cap (greater of £5m and trailing-12-month payments); usual carve-outs.</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Exclusivity (binding)</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For 90 days from the date of this term sheet, the Licensor shall not solicit, negotiate or enter into any licence of the Licensed Technology in the Field with any third party.</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Costs (binding)</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Each party bears its own costs.</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Confidentiality (binding)</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Governed by the parties’ NDA dated 8 October 2025.</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Governing law (binding)</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England and Wales; exclusive jurisdiction of the English courts.</w:t>
            </w:r>
          </w:p>
        </w:tc>
      </w:tr>
      <w:tr>
        <w:trPr>
          <w:tblHeader w:val="false"/>
        </w:trPr>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Timetable</w:t>
            </w:r>
          </w:p>
        </w:tc>
        <w:tc>
          <w:tcPr>
            <w:tcW w:type="dxa" w:w="68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Heads / NDA (done); first draft licence late November 2025; signing targeted for late January 2026.</w:t>
            </w:r>
          </w:p>
        </w:tc>
      </w:tr>
    </w:tbl>
    <w:p>
      <w:pPr>
        <w:spacing w:after="120"/>
      </w:pPr>
      <w:r>
        <w:t xml:space="preserve"/>
      </w:r>
    </w:p>
    <w:p>
      <w:pPr>
        <w:spacing w:after="160"/>
      </w:pPr>
      <w:r>
        <w:rPr>
          <w:b/>
          <w:bCs/>
        </w:rPr>
        <w:t xml:space="preserve">Agreed in principle and subject to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For Larkmoor Bioscience Limited</w:t>
            </w:r>
          </w:p>
        </w:tc>
        <w:tc>
          <w:tcPr>
            <w:tcW w:type="dxa" w:w="4513"/>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For Verrell Beauty Group plc</w:t>
            </w:r>
          </w:p>
        </w:tc>
      </w:tr>
      <w:tr>
        <w:trPr>
          <w:tblHeader w:val="false"/>
        </w:trP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
Name: Dr Alice Wren
Title: Chief Executive Officer
Date: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
Name: Caroline Devereux
Title: Group Commercial Director
Date: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40"/>
      <w:jc w:val="center"/>
    </w:pPr>
    <w:r>
      <w:rPr>
        <w:color w:val="808080"/>
        <w:sz w:val="15"/>
        <w:szCs w:val="15"/>
      </w:rPr>
      <w:t xml:space="preserve">Strictly private and confidential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18"/>
        <w:szCs w:val="18"/>
      </w:rPr>
      <w:t xml:space="preserve">Whitfield Carter LLP</w:t>
    </w:r>
  </w:p>
  <w:p>
    <w:pPr>
      <w:pBdr>
        <w:bottom w:val="single" w:color="1F3864" w:sz="6" w:space="1"/>
      </w:pBdr>
      <w:spacing w:after="40"/>
      <w:jc w:val="right"/>
    </w:pPr>
    <w:r>
      <w:rPr>
        <w:color w:val="808080"/>
        <w:sz w:val="14"/>
        <w:szCs w:val="14"/>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Calibri" w:cs="Calibri" w:eastAsia="Calibri" w:hAnsi="Calibri"/>
      <w:b/>
      <w:bCs/>
      <w:sz w:val="32"/>
      <w:szCs w:val="32"/>
    </w:rPr>
  </w:style>
  <w:style w:type="paragraph" w:styleId="Heading1">
    <w:name w:val="Heading 1"/>
    <w:basedOn w:val="Normal"/>
    <w:next w:val="Normal"/>
    <w:qFormat/>
    <w:pPr>
      <w:keepNext/>
      <w:spacing w:after="140" w:before="260"/>
      <w:outlineLvl w:val="0"/>
    </w:pPr>
    <w:rPr>
      <w:rFonts w:ascii="Calibri" w:cs="Calibri" w:eastAsia="Calibri" w:hAnsi="Calibri"/>
      <w:b/>
      <w:bCs/>
      <w:sz w:val="24"/>
      <w:szCs w:val="24"/>
    </w:rPr>
  </w:style>
  <w:style w:type="paragraph" w:styleId="Heading2">
    <w:name w:val="Heading 2"/>
    <w:basedOn w:val="Normal"/>
    <w:next w:val="Normal"/>
    <w:qFormat/>
    <w:pPr>
      <w:keepNext/>
      <w:spacing w:after="100" w:before="160"/>
      <w:outlineLvl w:val="1"/>
    </w:pPr>
    <w:rPr>
      <w:rFonts w:ascii="Calibri" w:cs="Calibri" w:eastAsia="Calibri" w:hAnsi="Calibri"/>
      <w:b/>
      <w:bCs/>
      <w:sz w:val="22"/>
      <w:szCs w:val="22"/>
    </w:rPr>
  </w:style>
  <w:style w:type="paragraph" w:styleId="Recital">
    <w:name w:val="Recital"/>
    <w:basedOn w:val="Normal"/>
    <w:next w:val="Normal"/>
    <w:pPr>
      <w:spacing w:after="12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2026-06-26T10:42:21.036Z</dcterms:created>
  <dcterms:modified xsi:type="dcterms:W3CDTF">2026-06-26T10:42:21.037Z</dcterms:modified>
</cp:coreProperties>
</file>

<file path=docProps/custom.xml><?xml version="1.0" encoding="utf-8"?>
<Properties xmlns="http://schemas.openxmlformats.org/officeDocument/2006/custom-properties" xmlns:vt="http://schemas.openxmlformats.org/officeDocument/2006/docPropsVTypes"/>
</file>