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sz w:val="20"/>
          <w:szCs w:val="20"/>
        </w:rPr>
        <w:t xml:space="preserve">Company No. 13042288</w:t>
      </w:r>
    </w:p>
    <w:p>
      <w:pPr>
        <w:spacing w:after="80"/>
        <w:jc w:val="center"/>
      </w:pPr>
      <w:r>
        <w:rPr>
          <w:b/>
          <w:bCs/>
          <w:sz w:val="22"/>
          <w:szCs w:val="22"/>
        </w:rPr>
        <w:t xml:space="preserve">THE COMPANIES ACT 2006</w:t>
      </w:r>
    </w:p>
    <w:p>
      <w:pPr>
        <w:spacing w:after="200"/>
        <w:jc w:val="center"/>
      </w:pPr>
      <w:r>
        <w:rPr>
          <w:sz w:val="20"/>
          <w:szCs w:val="20"/>
        </w:rPr>
        <w:t xml:space="preserve">PRIVATE COMPANY LIMITED BY SHARES</w:t>
      </w:r>
    </w:p>
    <w:p>
      <w:pPr>
        <w:spacing w:after="80"/>
        <w:jc w:val="center"/>
      </w:pPr>
      <w:r>
        <w:rPr>
          <w:b/>
          <w:bCs/>
          <w:sz w:val="26"/>
          <w:szCs w:val="26"/>
        </w:rPr>
        <w:t xml:space="preserve">AMENDED AND RESTATED ARTICLES OF ASSOCIATION</w:t>
      </w:r>
    </w:p>
    <w:p>
      <w:pPr>
        <w:spacing w:after="80"/>
        <w:jc w:val="center"/>
      </w:pPr>
      <w:r>
        <w:rPr>
          <w:sz w:val="20"/>
          <w:szCs w:val="20"/>
        </w:rPr>
        <w:t xml:space="preserve">of</w:t>
      </w:r>
    </w:p>
    <w:p>
      <w:pPr>
        <w:spacing w:after="120"/>
        <w:jc w:val="center"/>
      </w:pPr>
      <w:r>
        <w:rPr>
          <w:b/>
          <w:bCs/>
          <w:sz w:val="24"/>
          <w:szCs w:val="24"/>
        </w:rPr>
        <w:t xml:space="preserve">LARKMOOR BIOSCIENCE LIMITED</w:t>
      </w:r>
    </w:p>
    <w:p>
      <w:pPr>
        <w:spacing w:after="240"/>
        <w:jc w:val="center"/>
      </w:pPr>
      <w:r>
        <w:rPr>
          <w:i/>
          <w:iCs/>
          <w:sz w:val="18"/>
          <w:szCs w:val="18"/>
        </w:rPr>
        <w:t xml:space="preserve">(adopted by special resolution passed on            2026)</w:t>
      </w:r>
    </w:p>
    <w:p>
      <w:pPr>
        <w:tabs>
          <w:tab w:val="left" w:pos="720"/>
        </w:tabs>
        <w:spacing w:after="80" w:before="160"/>
      </w:pPr>
      <w:r>
        <w:rPr>
          <w:b/>
          <w:bCs/>
        </w:rPr>
        <w:t xml:space="preserve">1	</w:t>
      </w:r>
      <w:r>
        <w:rPr>
          <w:b/>
          <w:bCs/>
        </w:rPr>
        <w:t xml:space="preserve">Preliminary</w:t>
      </w:r>
    </w:p>
    <w:p>
      <w:pPr>
        <w:spacing w:after="120" w:line="276"/>
        <w:ind w:left="720"/>
      </w:pPr>
      <w:r>
        <w:t xml:space="preserve">The model articles for private companies limited by shares prescribed under the Companies Act 2006 (the “Model Articles”) apply to the Company, except in so far as they are modified or excluded by, or are inconsistent with, these Articles. Articles 8(2)–(4), 9(2), 11(2), 14, 17(2)–(3), 22, 24, 26(5), 44(2) and 52 of the Model Articles do not apply.</w:t>
      </w:r>
    </w:p>
    <w:p>
      <w:pPr>
        <w:tabs>
          <w:tab w:val="left" w:pos="720"/>
        </w:tabs>
        <w:spacing w:after="80" w:before="160"/>
      </w:pPr>
      <w:r>
        <w:rPr>
          <w:b/>
          <w:bCs/>
        </w:rPr>
        <w:t xml:space="preserve">2	</w:t>
      </w:r>
      <w:r>
        <w:rPr>
          <w:b/>
          <w:bCs/>
        </w:rPr>
        <w:t xml:space="preserve">Share capital and classes</w:t>
      </w:r>
    </w:p>
    <w:p>
      <w:pPr>
        <w:spacing w:after="120" w:line="276"/>
        <w:ind w:left="720"/>
      </w:pPr>
      <w:r>
        <w:t xml:space="preserve">The share capital of the Company comprises Ordinary Shares of £0.0001 each and Series A Preferred Shares of £0.0001 each, having the respective rights set out in these Articles. The Series A Preferred Shares rank in priority to the Ordinary Shares on a Return of Capital.</w:t>
      </w:r>
    </w:p>
    <w:p>
      <w:pPr>
        <w:tabs>
          <w:tab w:val="left" w:pos="720"/>
        </w:tabs>
        <w:spacing w:after="80" w:before="160"/>
      </w:pPr>
      <w:r>
        <w:rPr>
          <w:b/>
          <w:bCs/>
        </w:rPr>
        <w:t xml:space="preserve">3	</w:t>
      </w:r>
      <w:r>
        <w:rPr>
          <w:b/>
          <w:bCs/>
        </w:rPr>
        <w:t xml:space="preserve">Dividends</w:t>
      </w:r>
    </w:p>
    <w:p>
      <w:pPr>
        <w:spacing w:after="120" w:line="276"/>
        <w:ind w:left="720"/>
      </w:pPr>
      <w:r>
        <w:t xml:space="preserve">The Series A Preferred Shares carry a fixed non-cumulative preferential dividend of 6% per annum on the Series A Issue Price, payable only if and to the extent declared by the Board with Investor Majority consent. No dividend may be declared or paid on the Ordinary Shares unless the preferential dividend has been paid in full.</w:t>
      </w:r>
    </w:p>
    <w:p>
      <w:pPr>
        <w:tabs>
          <w:tab w:val="left" w:pos="720"/>
        </w:tabs>
        <w:spacing w:after="80" w:before="160"/>
      </w:pPr>
      <w:r>
        <w:rPr>
          <w:b/>
          <w:bCs/>
        </w:rPr>
        <w:t xml:space="preserve">4	</w:t>
      </w:r>
      <w:r>
        <w:rPr>
          <w:b/>
          <w:bCs/>
        </w:rPr>
        <w:t xml:space="preserve">Return of Capital / liquidation preference</w:t>
      </w:r>
    </w:p>
    <w:p>
      <w:pPr>
        <w:spacing w:after="120" w:line="276"/>
        <w:ind w:left="720"/>
      </w:pPr>
      <w:r>
        <w:t xml:space="preserve">On a Return of Capital (including a Liquidation Event or a sale of the Company) the assets available for distribution are applied: first, in paying to the holders of Series A Preferred Shares the greater of (i) the Series A Issue Price plus declared but unpaid dividends and (ii) the amount they would receive on an as-converted basis (a 1x non-participating preference); and second, the balance to the holders of Ordinary Shares pro rata.</w:t>
      </w:r>
    </w:p>
    <w:p>
      <w:pPr>
        <w:tabs>
          <w:tab w:val="left" w:pos="720"/>
        </w:tabs>
        <w:spacing w:after="80" w:before="160"/>
      </w:pPr>
      <w:r>
        <w:rPr>
          <w:b/>
          <w:bCs/>
        </w:rPr>
        <w:t xml:space="preserve">5	</w:t>
      </w:r>
      <w:r>
        <w:rPr>
          <w:b/>
          <w:bCs/>
        </w:rPr>
        <w:t xml:space="preserve">Conversion</w:t>
      </w:r>
    </w:p>
    <w:p>
      <w:pPr>
        <w:spacing w:after="120" w:line="276"/>
        <w:ind w:left="720"/>
      </w:pPr>
      <w:r>
        <w:t xml:space="preserve">Each Series A Preferred Share converts into one Ordinary Share (subject to anti-dilution adjustment) at the option of the holder, and automatically immediately before a Qualifying IPO or on the written election of the Investor Majority.</w:t>
      </w:r>
    </w:p>
    <w:p>
      <w:pPr>
        <w:tabs>
          <w:tab w:val="left" w:pos="720"/>
        </w:tabs>
        <w:spacing w:after="80" w:before="160"/>
      </w:pPr>
      <w:r>
        <w:rPr>
          <w:b/>
          <w:bCs/>
        </w:rPr>
        <w:t xml:space="preserve">6	</w:t>
      </w:r>
      <w:r>
        <w:rPr>
          <w:b/>
          <w:bCs/>
        </w:rPr>
        <w:t xml:space="preserve">Anti-dilution</w:t>
      </w:r>
    </w:p>
    <w:p>
      <w:pPr>
        <w:spacing w:after="120" w:line="276"/>
        <w:ind w:left="720"/>
      </w:pPr>
      <w:r>
        <w:t xml:space="preserve">If the Company issues new equity securities at a price per share less than the Series A Issue Price (a Down Round), the conversion rate of the Series A Preferred Shares is adjusted on a broad-based weighted average basis, subject to the customary carve-outs set out in the Investment Agreement.</w:t>
      </w:r>
    </w:p>
    <w:p>
      <w:pPr>
        <w:tabs>
          <w:tab w:val="left" w:pos="720"/>
        </w:tabs>
        <w:spacing w:after="80" w:before="160"/>
      </w:pPr>
      <w:r>
        <w:rPr>
          <w:b/>
          <w:bCs/>
        </w:rPr>
        <w:t xml:space="preserve">7	</w:t>
      </w:r>
      <w:r>
        <w:rPr>
          <w:b/>
          <w:bCs/>
        </w:rPr>
        <w:t xml:space="preserve">Voting</w:t>
      </w:r>
    </w:p>
    <w:p>
      <w:pPr>
        <w:spacing w:after="120" w:line="276"/>
        <w:ind w:left="720"/>
      </w:pPr>
      <w:r>
        <w:t xml:space="preserve">Subject to any special rights or restrictions, on a show of hands every member present has one vote and on a poll every member has one vote for each share held. The Series A Preferred Shares and Ordinary Shares vote together as a single class except where these Articles or the Act require a separate class vote.</w:t>
      </w:r>
    </w:p>
    <w:p>
      <w:pPr>
        <w:tabs>
          <w:tab w:val="left" w:pos="720"/>
        </w:tabs>
        <w:spacing w:after="80" w:before="160"/>
      </w:pPr>
      <w:r>
        <w:rPr>
          <w:b/>
          <w:bCs/>
        </w:rPr>
        <w:t xml:space="preserve">8	</w:t>
      </w:r>
      <w:r>
        <w:rPr>
          <w:b/>
          <w:bCs/>
        </w:rPr>
        <w:t xml:space="preserve">Pre-emption on new issues</w:t>
      </w:r>
    </w:p>
    <w:p>
      <w:pPr>
        <w:spacing w:after="120" w:line="276"/>
        <w:ind w:left="720"/>
      </w:pPr>
      <w:r>
        <w:t xml:space="preserve">Save for Permitted Issues, new equity securities must first be offered to the existing holders of Ordinary Shares and Series A Preferred Shares pro rata to their fully diluted holdings, on no less favourable terms, by written offer open for not less than 14 days.</w:t>
      </w:r>
    </w:p>
    <w:p>
      <w:pPr>
        <w:tabs>
          <w:tab w:val="left" w:pos="720"/>
        </w:tabs>
        <w:spacing w:after="80" w:before="160"/>
      </w:pPr>
      <w:r>
        <w:rPr>
          <w:b/>
          <w:bCs/>
        </w:rPr>
        <w:t xml:space="preserve">9	</w:t>
      </w:r>
      <w:r>
        <w:rPr>
          <w:b/>
          <w:bCs/>
        </w:rPr>
        <w:t xml:space="preserve">Transfers, rights of first refusal, tag and drag</w:t>
      </w:r>
    </w:p>
    <w:p>
      <w:pPr>
        <w:spacing w:after="120" w:line="276"/>
        <w:ind w:left="720"/>
      </w:pPr>
      <w:r>
        <w:t xml:space="preserve">No share may be transferred except in accordance with these Articles. A proposed transfer (other than a Permitted Transfer) is subject to rights of first refusal in favour of the other members. On a transfer that would result in a change of control, the Series A holders have tag-along (co-sale) rights. If the holders of a majority of each class and the Board approve a sale, drag-along provisions apply to require all members to sell on the same terms.</w:t>
      </w:r>
    </w:p>
    <w:p>
      <w:pPr>
        <w:tabs>
          <w:tab w:val="left" w:pos="720"/>
        </w:tabs>
        <w:spacing w:after="80" w:before="160"/>
      </w:pPr>
      <w:r>
        <w:rPr>
          <w:b/>
          <w:bCs/>
        </w:rPr>
        <w:t xml:space="preserve">10	</w:t>
      </w:r>
      <w:r>
        <w:rPr>
          <w:b/>
          <w:bCs/>
        </w:rPr>
        <w:t xml:space="preserve">Leaver provisions and compulsory transfer</w:t>
      </w:r>
    </w:p>
    <w:p>
      <w:pPr>
        <w:spacing w:after="120" w:line="276"/>
        <w:ind w:left="720"/>
      </w:pPr>
      <w:r>
        <w:t xml:space="preserve">Each Founder’s Ordinary Shares vest on a straight-line basis over four years from that Founder’s original employment start date, subject to a 12-month cliff. If a Founder becomes a Leaver, his Unvested Shares (and, in the case of a Bad Leaver, all his shares) are subject to compulsory transfer at the price determined under these Articles (fair value for a Good Leaver; the lower of cost and fair value for a Bad Leaver).</w:t>
      </w:r>
    </w:p>
    <w:p>
      <w:pPr>
        <w:tabs>
          <w:tab w:val="left" w:pos="720"/>
        </w:tabs>
        <w:spacing w:after="80" w:before="160"/>
      </w:pPr>
      <w:r>
        <w:rPr>
          <w:b/>
          <w:bCs/>
        </w:rPr>
        <w:t xml:space="preserve">11	</w:t>
      </w:r>
      <w:r>
        <w:rPr>
          <w:b/>
          <w:bCs/>
        </w:rPr>
        <w:t xml:space="preserve">Board and Investor Director</w:t>
      </w:r>
    </w:p>
    <w:p>
      <w:pPr>
        <w:spacing w:after="120" w:line="276"/>
        <w:ind w:left="720"/>
      </w:pPr>
      <w:r>
        <w:t xml:space="preserve">The Board comprises not more than five directors. The Lead Investor may appoint and remove one Investor Director and one Observer by written notice to the Company. The quorum for any board meeting requires the presence of the Investor Director unless waived as provided in the Investment Agreement.</w:t>
      </w:r>
    </w:p>
    <w:p>
      <w:pPr>
        <w:tabs>
          <w:tab w:val="left" w:pos="720"/>
        </w:tabs>
        <w:spacing w:after="80" w:before="160"/>
      </w:pPr>
      <w:r>
        <w:rPr>
          <w:b/>
          <w:bCs/>
        </w:rPr>
        <w:t xml:space="preserve">12	</w:t>
      </w:r>
      <w:r>
        <w:rPr>
          <w:b/>
          <w:bCs/>
        </w:rPr>
        <w:t xml:space="preserve">Investor consent matters</w:t>
      </w:r>
    </w:p>
    <w:p>
      <w:pPr>
        <w:spacing w:after="120" w:line="276"/>
        <w:ind w:left="720"/>
      </w:pPr>
      <w:r>
        <w:t xml:space="preserve">The Company will not take any of the actions listed in the Investment Agreement as Investor Consent Matters without the prior written consent of the Investor Majority (or, where specified, the Investor Director).</w:t>
      </w:r>
    </w:p>
    <w:p>
      <w:pPr>
        <w:tabs>
          <w:tab w:val="left" w:pos="720"/>
        </w:tabs>
        <w:spacing w:after="80" w:before="160"/>
      </w:pPr>
      <w:r>
        <w:rPr>
          <w:b/>
          <w:bCs/>
        </w:rPr>
        <w:t xml:space="preserve">13	</w:t>
      </w:r>
      <w:r>
        <w:rPr>
          <w:b/>
          <w:bCs/>
        </w:rPr>
        <w:t xml:space="preserve">Drag-along procedure</w:t>
      </w:r>
    </w:p>
    <w:p>
      <w:pPr>
        <w:spacing w:after="120" w:line="276"/>
        <w:ind w:left="720"/>
      </w:pPr>
      <w:r>
        <w:t xml:space="preserve">On the exercise of the drag-along right, each Dragged Member is bound to transfer his shares to the proposed buyer on the same terms as the Selling Members, and the giving of a Drag-Along Notice constitutes the appointment of any director as the Dragged Member’s attorney to execute the necessary transfers.</w:t>
      </w:r>
    </w:p>
    <w:p>
      <w:pPr>
        <w:tabs>
          <w:tab w:val="left" w:pos="720"/>
        </w:tabs>
        <w:spacing w:after="80" w:before="160"/>
      </w:pPr>
      <w:r>
        <w:rPr>
          <w:b/>
          <w:bCs/>
        </w:rPr>
        <w:t xml:space="preserve">14	</w:t>
      </w:r>
      <w:r>
        <w:rPr>
          <w:b/>
          <w:bCs/>
        </w:rPr>
        <w:t xml:space="preserve">Definitions</w:t>
      </w:r>
    </w:p>
    <w:p>
      <w:pPr>
        <w:spacing w:after="120" w:line="276"/>
        <w:ind w:left="720"/>
      </w:pPr>
      <w:r>
        <w:t xml:space="preserve">“Series A Issue Price” means £10.00 per Series A Preferred Share. “Investor Majority”, “Permitted Issue”, “Permitted Transfer”, “Qualifying IPO”, “Good Leaver”, “Bad Leaver”, “Return of Capital” and “Liquidation Event” have the meanings given in the Investment Agreement, which apply to these Articles as if set out in full.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Amended Articles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Amended and Restated Articles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2026-06-26T01:24:21.943Z</dcterms:created>
  <dcterms:modified xsi:type="dcterms:W3CDTF">2026-06-26T01:24:21.943Z</dcterms:modified>
</cp:coreProperties>
</file>

<file path=docProps/custom.xml><?xml version="1.0" encoding="utf-8"?>
<Properties xmlns="http://schemas.openxmlformats.org/officeDocument/2006/custom-properties" xmlns:vt="http://schemas.openxmlformats.org/officeDocument/2006/docPropsVTypes"/>
</file>